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8C" w:rsidRPr="00A6718C" w:rsidRDefault="00A6718C" w:rsidP="00C4590D">
      <w:pPr>
        <w:spacing w:after="60"/>
        <w:jc w:val="center"/>
        <w:rPr>
          <w:rFonts w:asciiTheme="majorBidi" w:hAnsiTheme="majorBidi" w:cstheme="majorBidi"/>
          <w:b/>
          <w:bCs/>
          <w:sz w:val="28"/>
          <w:szCs w:val="28"/>
        </w:rPr>
      </w:pPr>
      <w:r w:rsidRPr="00A6718C">
        <w:rPr>
          <w:rFonts w:asciiTheme="majorBidi" w:hAnsiTheme="majorBidi" w:cstheme="majorBidi"/>
          <w:b/>
          <w:bCs/>
          <w:sz w:val="28"/>
          <w:szCs w:val="28"/>
        </w:rPr>
        <w:t>L’inceste des filles de</w:t>
      </w:r>
      <w:r w:rsidRPr="00A6718C">
        <w:rPr>
          <w:rFonts w:asciiTheme="majorBidi" w:hAnsiTheme="majorBidi" w:cstheme="majorBidi"/>
          <w:b/>
          <w:bCs/>
          <w:sz w:val="28"/>
          <w:szCs w:val="28"/>
        </w:rPr>
        <w:t xml:space="preserve"> Lot</w:t>
      </w:r>
      <w:r w:rsidRPr="00A6718C">
        <w:rPr>
          <w:rFonts w:asciiTheme="majorBidi" w:hAnsiTheme="majorBidi" w:cstheme="majorBidi"/>
          <w:b/>
          <w:bCs/>
          <w:sz w:val="28"/>
          <w:szCs w:val="28"/>
        </w:rPr>
        <w:t xml:space="preserve"> – </w:t>
      </w:r>
      <w:proofErr w:type="spellStart"/>
      <w:r w:rsidRPr="00A6718C">
        <w:rPr>
          <w:rFonts w:asciiTheme="majorBidi" w:hAnsiTheme="majorBidi" w:cstheme="majorBidi"/>
          <w:b/>
          <w:bCs/>
          <w:sz w:val="28"/>
          <w:szCs w:val="28"/>
        </w:rPr>
        <w:t>Gn</w:t>
      </w:r>
      <w:proofErr w:type="spellEnd"/>
      <w:r w:rsidRPr="00A6718C">
        <w:rPr>
          <w:rFonts w:asciiTheme="majorBidi" w:hAnsiTheme="majorBidi" w:cstheme="majorBidi"/>
          <w:b/>
          <w:bCs/>
          <w:sz w:val="28"/>
          <w:szCs w:val="28"/>
        </w:rPr>
        <w:t xml:space="preserve"> 19</w:t>
      </w:r>
    </w:p>
    <w:p w:rsidR="00A6718C" w:rsidRPr="00F65D50" w:rsidRDefault="00A6718C" w:rsidP="00C4590D">
      <w:pPr>
        <w:spacing w:after="60"/>
        <w:jc w:val="center"/>
        <w:rPr>
          <w:rFonts w:asciiTheme="majorBidi" w:hAnsiTheme="majorBidi" w:cstheme="majorBidi"/>
          <w:b/>
          <w:bCs/>
          <w:sz w:val="24"/>
          <w:szCs w:val="24"/>
        </w:rPr>
      </w:pPr>
      <w:r>
        <w:rPr>
          <w:rFonts w:asciiTheme="majorBidi" w:hAnsiTheme="majorBidi" w:cstheme="majorBidi"/>
          <w:b/>
          <w:bCs/>
          <w:sz w:val="28"/>
          <w:szCs w:val="28"/>
        </w:rPr>
        <w:t>A</w:t>
      </w:r>
      <w:r w:rsidRPr="00A6718C">
        <w:rPr>
          <w:rFonts w:asciiTheme="majorBidi" w:hAnsiTheme="majorBidi" w:cstheme="majorBidi"/>
          <w:b/>
          <w:bCs/>
          <w:sz w:val="28"/>
          <w:szCs w:val="28"/>
        </w:rPr>
        <w:t xml:space="preserve"> l’origine des peuples de Moab et d’Ammon</w:t>
      </w:r>
    </w:p>
    <w:p w:rsidR="00A6718C" w:rsidRDefault="00A6718C" w:rsidP="00C4590D">
      <w:pPr>
        <w:spacing w:after="60"/>
        <w:jc w:val="both"/>
        <w:rPr>
          <w:rFonts w:asciiTheme="majorBidi" w:hAnsiTheme="majorBidi" w:cstheme="majorBidi"/>
          <w:sz w:val="24"/>
          <w:szCs w:val="24"/>
        </w:rPr>
      </w:pPr>
    </w:p>
    <w:p w:rsidR="00A6718C" w:rsidRPr="00C4590D" w:rsidRDefault="00A6718C" w:rsidP="00C4590D">
      <w:pPr>
        <w:spacing w:after="60"/>
        <w:jc w:val="both"/>
        <w:rPr>
          <w:rFonts w:asciiTheme="majorBidi" w:hAnsiTheme="majorBidi" w:cstheme="majorBidi"/>
          <w:b/>
          <w:bCs/>
          <w:sz w:val="28"/>
          <w:szCs w:val="28"/>
        </w:rPr>
      </w:pPr>
      <w:r w:rsidRPr="00C4590D">
        <w:rPr>
          <w:rFonts w:asciiTheme="majorBidi" w:hAnsiTheme="majorBidi" w:cstheme="majorBidi"/>
          <w:b/>
          <w:bCs/>
          <w:sz w:val="28"/>
          <w:szCs w:val="28"/>
        </w:rPr>
        <w:t xml:space="preserve">1. </w:t>
      </w:r>
      <w:r w:rsidRPr="00C4590D">
        <w:rPr>
          <w:rFonts w:asciiTheme="majorBidi" w:hAnsiTheme="majorBidi" w:cstheme="majorBidi"/>
          <w:b/>
          <w:bCs/>
          <w:sz w:val="28"/>
          <w:szCs w:val="28"/>
        </w:rPr>
        <w:t>Contexte</w:t>
      </w:r>
    </w:p>
    <w:p w:rsidR="00A6718C"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t>Lot était le chef d’un clan allié à celui d’Abraham. Le rédacteur du livre de la Genèse fait de Lot le neveu d’Abraham, fils d’un de ses frères (</w:t>
      </w:r>
      <w:proofErr w:type="spellStart"/>
      <w:r>
        <w:rPr>
          <w:rFonts w:asciiTheme="majorBidi" w:hAnsiTheme="majorBidi" w:cstheme="majorBidi"/>
          <w:sz w:val="24"/>
          <w:szCs w:val="24"/>
        </w:rPr>
        <w:t>Gn</w:t>
      </w:r>
      <w:proofErr w:type="spellEnd"/>
      <w:r>
        <w:rPr>
          <w:rFonts w:asciiTheme="majorBidi" w:hAnsiTheme="majorBidi" w:cstheme="majorBidi"/>
          <w:sz w:val="24"/>
          <w:szCs w:val="24"/>
        </w:rPr>
        <w:t xml:space="preserve"> 12,4-5). Les deux clans ont prospéré ensemble, sur la terre de Canaan, jusqu’au jour où les troupeaux sont devenus trop nombreux pour continuer de paître sur les mêmes terres sans que cela occasionne des conflits. Abraham propose à Lot de se séparer de lui et de choisir son territoire. Lot choisit les riches terres toujours irriguées du district du Jourdain, à l’est du pays, et il s’établit à Sodome (</w:t>
      </w:r>
      <w:proofErr w:type="spellStart"/>
      <w:r>
        <w:rPr>
          <w:rFonts w:asciiTheme="majorBidi" w:hAnsiTheme="majorBidi" w:cstheme="majorBidi"/>
          <w:sz w:val="24"/>
          <w:szCs w:val="24"/>
        </w:rPr>
        <w:t>Gn</w:t>
      </w:r>
      <w:proofErr w:type="spellEnd"/>
      <w:r>
        <w:rPr>
          <w:rFonts w:asciiTheme="majorBidi" w:hAnsiTheme="majorBidi" w:cstheme="majorBidi"/>
          <w:sz w:val="24"/>
          <w:szCs w:val="24"/>
        </w:rPr>
        <w:t xml:space="preserve"> 13). </w:t>
      </w:r>
      <w:r>
        <w:rPr>
          <w:rFonts w:asciiTheme="majorBidi" w:hAnsiTheme="majorBidi" w:cstheme="majorBidi"/>
          <w:i/>
          <w:iCs/>
          <w:sz w:val="24"/>
          <w:szCs w:val="24"/>
        </w:rPr>
        <w:t xml:space="preserve">Avant que le Seigneur anéantisse Sodome et Gomorrhe, c’était comme le jardin du Seigneur, comme l’Egypte, jusque vers </w:t>
      </w:r>
      <w:proofErr w:type="spellStart"/>
      <w:r w:rsidRPr="004F1170">
        <w:rPr>
          <w:rFonts w:asciiTheme="majorBidi" w:hAnsiTheme="majorBidi" w:cstheme="majorBidi"/>
          <w:i/>
          <w:iCs/>
          <w:sz w:val="24"/>
          <w:szCs w:val="24"/>
        </w:rPr>
        <w:t>Tsoar</w:t>
      </w:r>
      <w:proofErr w:type="spellEnd"/>
      <w:r>
        <w:rPr>
          <w:rFonts w:asciiTheme="majorBidi" w:hAnsiTheme="majorBidi" w:cstheme="majorBidi"/>
          <w:sz w:val="24"/>
          <w:szCs w:val="24"/>
        </w:rPr>
        <w:t>, raconte le texte de la Genèse (13,10). Une région magnifique, donc, mais l</w:t>
      </w:r>
      <w:r w:rsidRPr="004F1170">
        <w:rPr>
          <w:rFonts w:asciiTheme="majorBidi" w:hAnsiTheme="majorBidi" w:cstheme="majorBidi"/>
          <w:sz w:val="24"/>
          <w:szCs w:val="24"/>
        </w:rPr>
        <w:t>a</w:t>
      </w:r>
      <w:r>
        <w:rPr>
          <w:rFonts w:asciiTheme="majorBidi" w:hAnsiTheme="majorBidi" w:cstheme="majorBidi"/>
          <w:sz w:val="24"/>
          <w:szCs w:val="24"/>
        </w:rPr>
        <w:t xml:space="preserve"> mauvaise réputation de Sodome est déjà mentionnée en </w:t>
      </w:r>
      <w:proofErr w:type="spellStart"/>
      <w:r>
        <w:rPr>
          <w:rFonts w:asciiTheme="majorBidi" w:hAnsiTheme="majorBidi" w:cstheme="majorBidi"/>
          <w:sz w:val="24"/>
          <w:szCs w:val="24"/>
        </w:rPr>
        <w:t>Gn</w:t>
      </w:r>
      <w:proofErr w:type="spellEnd"/>
      <w:r>
        <w:rPr>
          <w:rFonts w:asciiTheme="majorBidi" w:hAnsiTheme="majorBidi" w:cstheme="majorBidi"/>
          <w:sz w:val="24"/>
          <w:szCs w:val="24"/>
        </w:rPr>
        <w:t xml:space="preserve"> 13,13 : </w:t>
      </w:r>
      <w:r>
        <w:rPr>
          <w:rFonts w:asciiTheme="majorBidi" w:hAnsiTheme="majorBidi" w:cstheme="majorBidi"/>
          <w:i/>
          <w:iCs/>
          <w:sz w:val="24"/>
          <w:szCs w:val="24"/>
        </w:rPr>
        <w:t>les gens de Sodome étaient très mauvais et pécheurs envers le Seigneur.</w:t>
      </w:r>
    </w:p>
    <w:p w:rsidR="00A6718C"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t>On retrouve Lot à Sodome, au chapitre 19, au moment où Dieu a décidé la destruction des villes du District. Lot est marié, il a deux filles, promises à deux hommes de Sodome (ses gendres).</w:t>
      </w:r>
    </w:p>
    <w:p w:rsidR="00A6718C"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t>Lot apparaît dans ce chapitre comme intégré et différent du reste des habitants de Sodome :</w:t>
      </w:r>
    </w:p>
    <w:p w:rsidR="00A6718C" w:rsidRDefault="00A6718C" w:rsidP="00C4590D">
      <w:pPr>
        <w:pStyle w:val="Paragraphedeliste"/>
        <w:numPr>
          <w:ilvl w:val="0"/>
          <w:numId w:val="3"/>
        </w:numPr>
        <w:spacing w:after="60"/>
        <w:jc w:val="both"/>
        <w:rPr>
          <w:rFonts w:asciiTheme="majorBidi" w:hAnsiTheme="majorBidi" w:cstheme="majorBidi"/>
          <w:sz w:val="24"/>
          <w:szCs w:val="24"/>
        </w:rPr>
      </w:pPr>
      <w:r w:rsidRPr="004B31F1">
        <w:rPr>
          <w:rFonts w:asciiTheme="majorBidi" w:hAnsiTheme="majorBidi" w:cstheme="majorBidi"/>
          <w:sz w:val="24"/>
          <w:szCs w:val="24"/>
        </w:rPr>
        <w:t>Intégré, parce qu’il siège à la Porte de Sodome, là où se tient le tribunal et où se règlent les affaires. S’est-il perverti au contact des habitants mauvais de Sodome ?</w:t>
      </w:r>
    </w:p>
    <w:p w:rsidR="00A6718C" w:rsidRPr="005B53DE" w:rsidRDefault="00A6718C" w:rsidP="00C4590D">
      <w:pPr>
        <w:pStyle w:val="Paragraphedeliste"/>
        <w:numPr>
          <w:ilvl w:val="0"/>
          <w:numId w:val="3"/>
        </w:numPr>
        <w:spacing w:after="60"/>
        <w:jc w:val="both"/>
        <w:rPr>
          <w:rFonts w:asciiTheme="majorBidi" w:hAnsiTheme="majorBidi" w:cstheme="majorBidi"/>
          <w:sz w:val="24"/>
          <w:szCs w:val="24"/>
        </w:rPr>
      </w:pPr>
      <w:r w:rsidRPr="005B53DE">
        <w:rPr>
          <w:rFonts w:asciiTheme="majorBidi" w:hAnsiTheme="majorBidi" w:cstheme="majorBidi"/>
          <w:sz w:val="24"/>
          <w:szCs w:val="24"/>
        </w:rPr>
        <w:t>Différent, parce qu’il offre, avec empressement, l’hospitalité à deux étrangers qui, il l’apprendra plus tard, sont des anges de Dieu, les exécuteurs du châtiment divin.</w:t>
      </w:r>
    </w:p>
    <w:p w:rsidR="00A6718C" w:rsidRDefault="00A6718C" w:rsidP="00C4590D">
      <w:pPr>
        <w:spacing w:after="60"/>
        <w:jc w:val="both"/>
        <w:rPr>
          <w:rFonts w:asciiTheme="majorBidi" w:hAnsiTheme="majorBidi" w:cstheme="majorBidi"/>
          <w:sz w:val="24"/>
          <w:szCs w:val="24"/>
        </w:rPr>
      </w:pPr>
    </w:p>
    <w:p w:rsidR="00A6718C" w:rsidRPr="00C4590D" w:rsidRDefault="00A6718C" w:rsidP="00C4590D">
      <w:pPr>
        <w:spacing w:after="60"/>
        <w:jc w:val="both"/>
        <w:rPr>
          <w:rFonts w:asciiTheme="majorBidi" w:hAnsiTheme="majorBidi" w:cstheme="majorBidi"/>
          <w:sz w:val="28"/>
          <w:szCs w:val="28"/>
        </w:rPr>
      </w:pPr>
      <w:r w:rsidRPr="00C4590D">
        <w:rPr>
          <w:rFonts w:asciiTheme="majorBidi" w:hAnsiTheme="majorBidi" w:cstheme="majorBidi"/>
          <w:b/>
          <w:bCs/>
          <w:sz w:val="28"/>
          <w:szCs w:val="28"/>
        </w:rPr>
        <w:t xml:space="preserve">2. </w:t>
      </w:r>
      <w:r w:rsidRPr="00C4590D">
        <w:rPr>
          <w:rFonts w:asciiTheme="majorBidi" w:hAnsiTheme="majorBidi" w:cstheme="majorBidi"/>
          <w:b/>
          <w:bCs/>
          <w:sz w:val="28"/>
          <w:szCs w:val="28"/>
        </w:rPr>
        <w:t>D’un côté la xénophobie et le viol, de l’autre le devoir d’hospitalité mis au-dessus de celui de protéger les filles de la maison.</w:t>
      </w:r>
    </w:p>
    <w:p w:rsidR="00A6718C"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t xml:space="preserve">Les hommes de la ville cernent la maison de Lot et lui réclament les deux hommes pour abuser d’eux. Lot refuse et propose à la place ses </w:t>
      </w:r>
      <w:r w:rsidRPr="00F82186">
        <w:rPr>
          <w:rFonts w:asciiTheme="majorBidi" w:hAnsiTheme="majorBidi" w:cstheme="majorBidi"/>
          <w:i/>
          <w:iCs/>
          <w:sz w:val="24"/>
          <w:szCs w:val="24"/>
        </w:rPr>
        <w:t>deux filles vierges</w:t>
      </w:r>
      <w:r>
        <w:rPr>
          <w:rFonts w:asciiTheme="majorBidi" w:hAnsiTheme="majorBidi" w:cstheme="majorBidi"/>
          <w:sz w:val="24"/>
          <w:szCs w:val="24"/>
        </w:rPr>
        <w:t xml:space="preserve"> : </w:t>
      </w:r>
      <w:r>
        <w:rPr>
          <w:rFonts w:asciiTheme="majorBidi" w:hAnsiTheme="majorBidi" w:cstheme="majorBidi"/>
          <w:i/>
          <w:iCs/>
          <w:sz w:val="24"/>
          <w:szCs w:val="24"/>
        </w:rPr>
        <w:t>je vais les faire sortir vers vous et vous leur ferez ce qu’il vous plaira. Seulement, ne faites rien à ces hommes, puisqu’ils sont venus à l’ombre de mon toit. (</w:t>
      </w:r>
      <w:proofErr w:type="spellStart"/>
      <w:r>
        <w:rPr>
          <w:rFonts w:asciiTheme="majorBidi" w:hAnsiTheme="majorBidi" w:cstheme="majorBidi"/>
          <w:i/>
          <w:iCs/>
          <w:sz w:val="24"/>
          <w:szCs w:val="24"/>
        </w:rPr>
        <w:t>Gn</w:t>
      </w:r>
      <w:proofErr w:type="spellEnd"/>
      <w:r>
        <w:rPr>
          <w:rFonts w:asciiTheme="majorBidi" w:hAnsiTheme="majorBidi" w:cstheme="majorBidi"/>
          <w:i/>
          <w:iCs/>
          <w:sz w:val="24"/>
          <w:szCs w:val="24"/>
        </w:rPr>
        <w:t xml:space="preserve"> 19,8)</w:t>
      </w:r>
    </w:p>
    <w:p w:rsidR="00A6718C"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t>Le contraste est saisissant entre les gens de Sodome qui n’ont aucune morale, et Lot qui a appris auprès d’Abraham le devoir sacré de l’hospitalité. Pour les habitants de Sodome, Lot commet le « délit d’hospitalité » ! Dans la tradition juive, « les gens de Sodome n’ont pas de part au monde futur ».</w:t>
      </w:r>
    </w:p>
    <w:p w:rsidR="00A6718C"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t>Nous sommes choqués de voir qu’un père n’hésite pas à sacrifier ses deux filles pour sauver deux étrangers… Les femmes auraient-elles moins de valeur que les étrangers ?</w:t>
      </w:r>
    </w:p>
    <w:p w:rsidR="00A6718C"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t xml:space="preserve">Et que </w:t>
      </w:r>
      <w:proofErr w:type="spellStart"/>
      <w:r>
        <w:rPr>
          <w:rFonts w:asciiTheme="majorBidi" w:hAnsiTheme="majorBidi" w:cstheme="majorBidi"/>
          <w:sz w:val="24"/>
          <w:szCs w:val="24"/>
        </w:rPr>
        <w:t>se</w:t>
      </w:r>
      <w:proofErr w:type="spellEnd"/>
      <w:r>
        <w:rPr>
          <w:rFonts w:asciiTheme="majorBidi" w:hAnsiTheme="majorBidi" w:cstheme="majorBidi"/>
          <w:sz w:val="24"/>
          <w:szCs w:val="24"/>
        </w:rPr>
        <w:t xml:space="preserve"> serait-il passé si les anges n’avaient pas frappé les sodomites de confusion ? La réponse se trouve au chapitre 19 du livre des Juges, que la tradition talmudique considère comme un midrash de </w:t>
      </w:r>
      <w:proofErr w:type="spellStart"/>
      <w:r>
        <w:rPr>
          <w:rFonts w:asciiTheme="majorBidi" w:hAnsiTheme="majorBidi" w:cstheme="majorBidi"/>
          <w:sz w:val="24"/>
          <w:szCs w:val="24"/>
        </w:rPr>
        <w:t>Gn</w:t>
      </w:r>
      <w:proofErr w:type="spellEnd"/>
      <w:r>
        <w:rPr>
          <w:rFonts w:asciiTheme="majorBidi" w:hAnsiTheme="majorBidi" w:cstheme="majorBidi"/>
          <w:sz w:val="24"/>
          <w:szCs w:val="24"/>
        </w:rPr>
        <w:t xml:space="preserve"> 19,8 : en Juge 19, une femme a eu moins de chance que les filles de Lot. Jetée en pâture aux hommes de </w:t>
      </w:r>
      <w:proofErr w:type="spellStart"/>
      <w:r>
        <w:rPr>
          <w:rFonts w:asciiTheme="majorBidi" w:hAnsiTheme="majorBidi" w:cstheme="majorBidi"/>
          <w:sz w:val="24"/>
          <w:szCs w:val="24"/>
        </w:rPr>
        <w:t>Guibéa</w:t>
      </w:r>
      <w:proofErr w:type="spellEnd"/>
      <w:r>
        <w:rPr>
          <w:rFonts w:asciiTheme="majorBidi" w:hAnsiTheme="majorBidi" w:cstheme="majorBidi"/>
          <w:sz w:val="24"/>
          <w:szCs w:val="24"/>
        </w:rPr>
        <w:t xml:space="preserve"> (collines au nord de Jérusalem), ceux-ci l’ont tant brutalisée qu’elle en est morte.</w:t>
      </w:r>
    </w:p>
    <w:p w:rsidR="00A6718C" w:rsidRPr="006C03E5"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lastRenderedPageBreak/>
        <w:t>Le Talmud est sévère vis-à-vis de Lot : « Tu livres tes filles à la débauche au lieu de défendre leur honneur jusqu’à la mort ! Ton péché se retournera finalement contre toi et tu succomberas par elles à l’inceste. »</w:t>
      </w:r>
      <w:r>
        <w:rPr>
          <w:rStyle w:val="Appelnotedebasdep"/>
          <w:rFonts w:asciiTheme="majorBidi" w:hAnsiTheme="majorBidi" w:cstheme="majorBidi"/>
          <w:sz w:val="24"/>
          <w:szCs w:val="24"/>
        </w:rPr>
        <w:footnoteReference w:id="1"/>
      </w:r>
    </w:p>
    <w:p w:rsidR="00A6718C"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t xml:space="preserve">Le rabbin Pauline </w:t>
      </w:r>
      <w:proofErr w:type="spellStart"/>
      <w:r>
        <w:rPr>
          <w:rFonts w:asciiTheme="majorBidi" w:hAnsiTheme="majorBidi" w:cstheme="majorBidi"/>
          <w:sz w:val="24"/>
          <w:szCs w:val="24"/>
        </w:rPr>
        <w:t>Bebe</w:t>
      </w:r>
      <w:proofErr w:type="spellEnd"/>
      <w:r>
        <w:rPr>
          <w:rFonts w:asciiTheme="majorBidi" w:hAnsiTheme="majorBidi" w:cstheme="majorBidi"/>
          <w:sz w:val="24"/>
          <w:szCs w:val="24"/>
        </w:rPr>
        <w:t xml:space="preserve"> commente : « Les filles sont transformées en objet d’échange pour acheter la tranquillité des hommes. »</w:t>
      </w:r>
      <w:r>
        <w:rPr>
          <w:rStyle w:val="Appelnotedebasdep"/>
          <w:rFonts w:asciiTheme="majorBidi" w:hAnsiTheme="majorBidi" w:cstheme="majorBidi"/>
          <w:sz w:val="24"/>
          <w:szCs w:val="24"/>
        </w:rPr>
        <w:footnoteReference w:id="2"/>
      </w:r>
    </w:p>
    <w:p w:rsidR="00A6718C" w:rsidRDefault="00A6718C" w:rsidP="00C4590D">
      <w:pPr>
        <w:spacing w:after="60"/>
        <w:jc w:val="both"/>
        <w:rPr>
          <w:rFonts w:asciiTheme="majorBidi" w:hAnsiTheme="majorBidi" w:cstheme="majorBidi"/>
          <w:sz w:val="24"/>
          <w:szCs w:val="24"/>
        </w:rPr>
      </w:pPr>
    </w:p>
    <w:p w:rsidR="00A6718C" w:rsidRPr="00C4590D" w:rsidRDefault="00A6718C" w:rsidP="00C4590D">
      <w:pPr>
        <w:spacing w:after="60"/>
        <w:jc w:val="both"/>
        <w:rPr>
          <w:rFonts w:asciiTheme="majorBidi" w:hAnsiTheme="majorBidi" w:cstheme="majorBidi"/>
          <w:b/>
          <w:bCs/>
          <w:sz w:val="28"/>
          <w:szCs w:val="28"/>
        </w:rPr>
      </w:pPr>
      <w:r w:rsidRPr="00C4590D">
        <w:rPr>
          <w:rFonts w:asciiTheme="majorBidi" w:hAnsiTheme="majorBidi" w:cstheme="majorBidi"/>
          <w:b/>
          <w:bCs/>
          <w:sz w:val="28"/>
          <w:szCs w:val="28"/>
        </w:rPr>
        <w:t xml:space="preserve">3. </w:t>
      </w:r>
      <w:r w:rsidRPr="00C4590D">
        <w:rPr>
          <w:rFonts w:asciiTheme="majorBidi" w:hAnsiTheme="majorBidi" w:cstheme="majorBidi"/>
          <w:b/>
          <w:bCs/>
          <w:sz w:val="28"/>
          <w:szCs w:val="28"/>
        </w:rPr>
        <w:t>Destruction de Sodome, mort de la femme de Lot</w:t>
      </w:r>
    </w:p>
    <w:p w:rsidR="00A6718C"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t xml:space="preserve">Par égard pour Abraham, ou parce que Lot est un homme juste, le seul de la ville, Dieu sauve Lot et sa famille. Les gendres ne prennent pas la menace au sérieux et refusent de partir. Les anges poussent hors de la ville Lot, sa femme et ses deux filles. Avec une consigne : ne pas se retourner, ne pas contempler le malheur des méchants. Mais, au verset 26, </w:t>
      </w:r>
      <w:r>
        <w:rPr>
          <w:rFonts w:asciiTheme="majorBidi" w:hAnsiTheme="majorBidi" w:cstheme="majorBidi"/>
          <w:i/>
          <w:iCs/>
          <w:sz w:val="24"/>
          <w:szCs w:val="24"/>
        </w:rPr>
        <w:t>Sa femme regarda par derrière et devint une statue de sel</w:t>
      </w:r>
      <w:r>
        <w:rPr>
          <w:rFonts w:asciiTheme="majorBidi" w:hAnsiTheme="majorBidi" w:cstheme="majorBidi"/>
          <w:sz w:val="24"/>
          <w:szCs w:val="24"/>
        </w:rPr>
        <w:t>… tant le spectacle est douloureux, insupportable.</w:t>
      </w:r>
    </w:p>
    <w:p w:rsidR="00A6718C"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t>Voilà donc Lot devenu veuf et ses filles ont perdu leur mère : c’est important pour comprendre la suite de l’histoire et l’attitude des filles envers leur père.</w:t>
      </w:r>
    </w:p>
    <w:p w:rsidR="00A6718C"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t xml:space="preserve">Lot se dirige d’abord vers une petite ville, </w:t>
      </w:r>
      <w:proofErr w:type="spellStart"/>
      <w:r>
        <w:rPr>
          <w:rFonts w:asciiTheme="majorBidi" w:hAnsiTheme="majorBidi" w:cstheme="majorBidi"/>
          <w:sz w:val="24"/>
          <w:szCs w:val="24"/>
        </w:rPr>
        <w:t>Tsoar</w:t>
      </w:r>
      <w:proofErr w:type="spellEnd"/>
      <w:r>
        <w:rPr>
          <w:rFonts w:asciiTheme="majorBidi" w:hAnsiTheme="majorBidi" w:cstheme="majorBidi"/>
          <w:sz w:val="24"/>
          <w:szCs w:val="24"/>
        </w:rPr>
        <w:t xml:space="preserve"> (= petit, insignifiant), dont il a négocié le salut, puis il s’installe dans la montagne, dans une grotte, avec ses deux filles.</w:t>
      </w:r>
    </w:p>
    <w:p w:rsidR="00A6718C" w:rsidRDefault="00A6718C" w:rsidP="00C4590D">
      <w:pPr>
        <w:spacing w:after="60"/>
        <w:jc w:val="both"/>
        <w:rPr>
          <w:rFonts w:asciiTheme="majorBidi" w:hAnsiTheme="majorBidi" w:cstheme="majorBidi"/>
          <w:sz w:val="24"/>
          <w:szCs w:val="24"/>
        </w:rPr>
      </w:pPr>
    </w:p>
    <w:p w:rsidR="00A6718C" w:rsidRPr="00C4590D" w:rsidRDefault="00A6718C" w:rsidP="00C4590D">
      <w:pPr>
        <w:spacing w:after="60"/>
        <w:jc w:val="both"/>
        <w:rPr>
          <w:rFonts w:asciiTheme="majorBidi" w:hAnsiTheme="majorBidi" w:cstheme="majorBidi"/>
          <w:b/>
          <w:bCs/>
          <w:sz w:val="28"/>
          <w:szCs w:val="28"/>
        </w:rPr>
      </w:pPr>
      <w:r w:rsidRPr="00C4590D">
        <w:rPr>
          <w:rFonts w:asciiTheme="majorBidi" w:hAnsiTheme="majorBidi" w:cstheme="majorBidi"/>
          <w:b/>
          <w:bCs/>
          <w:sz w:val="28"/>
          <w:szCs w:val="28"/>
        </w:rPr>
        <w:t xml:space="preserve">4. </w:t>
      </w:r>
      <w:r w:rsidRPr="00C4590D">
        <w:rPr>
          <w:rFonts w:asciiTheme="majorBidi" w:hAnsiTheme="majorBidi" w:cstheme="majorBidi"/>
          <w:b/>
          <w:bCs/>
          <w:sz w:val="28"/>
          <w:szCs w:val="28"/>
        </w:rPr>
        <w:t xml:space="preserve">Récit de l’inceste, </w:t>
      </w:r>
      <w:proofErr w:type="spellStart"/>
      <w:r w:rsidRPr="00C4590D">
        <w:rPr>
          <w:rFonts w:asciiTheme="majorBidi" w:hAnsiTheme="majorBidi" w:cstheme="majorBidi"/>
          <w:b/>
          <w:bCs/>
          <w:sz w:val="28"/>
          <w:szCs w:val="28"/>
        </w:rPr>
        <w:t>Gn</w:t>
      </w:r>
      <w:proofErr w:type="spellEnd"/>
      <w:r w:rsidRPr="00C4590D">
        <w:rPr>
          <w:rFonts w:asciiTheme="majorBidi" w:hAnsiTheme="majorBidi" w:cstheme="majorBidi"/>
          <w:b/>
          <w:bCs/>
          <w:sz w:val="28"/>
          <w:szCs w:val="28"/>
        </w:rPr>
        <w:t xml:space="preserve"> 19,31-38</w:t>
      </w:r>
    </w:p>
    <w:p w:rsidR="00A6718C" w:rsidRDefault="00A6718C" w:rsidP="00C4590D">
      <w:pPr>
        <w:spacing w:after="60"/>
        <w:jc w:val="both"/>
        <w:rPr>
          <w:rFonts w:asciiTheme="majorBidi" w:hAnsiTheme="majorBidi" w:cstheme="majorBidi"/>
          <w:sz w:val="24"/>
          <w:szCs w:val="24"/>
        </w:rPr>
      </w:pPr>
      <w:r>
        <w:rPr>
          <w:rFonts w:asciiTheme="majorBidi" w:hAnsiTheme="majorBidi" w:cstheme="majorBidi"/>
          <w:i/>
          <w:iCs/>
          <w:sz w:val="24"/>
          <w:szCs w:val="24"/>
          <w:vertAlign w:val="superscript"/>
        </w:rPr>
        <w:t>31</w:t>
      </w:r>
      <w:r>
        <w:rPr>
          <w:rFonts w:asciiTheme="majorBidi" w:hAnsiTheme="majorBidi" w:cstheme="majorBidi"/>
          <w:i/>
          <w:iCs/>
          <w:sz w:val="24"/>
          <w:szCs w:val="24"/>
        </w:rPr>
        <w:t xml:space="preserve">Alors l’aînée dit à la cadette : Notre père est vieux, et il n’y a pas d’homme dans le pays pour aller avec nous selon l’usage commun à tous. </w:t>
      </w:r>
      <w:r>
        <w:rPr>
          <w:rFonts w:asciiTheme="majorBidi" w:hAnsiTheme="majorBidi" w:cstheme="majorBidi"/>
          <w:i/>
          <w:iCs/>
          <w:sz w:val="24"/>
          <w:szCs w:val="24"/>
          <w:vertAlign w:val="superscript"/>
        </w:rPr>
        <w:t>32</w:t>
      </w:r>
      <w:r>
        <w:rPr>
          <w:rFonts w:asciiTheme="majorBidi" w:hAnsiTheme="majorBidi" w:cstheme="majorBidi"/>
          <w:i/>
          <w:iCs/>
          <w:sz w:val="24"/>
          <w:szCs w:val="24"/>
        </w:rPr>
        <w:t xml:space="preserve">Viens, faisons boire du vin à notre père et couchons avec lui, afin de donner la vie à une descendance issue de notre père. </w:t>
      </w:r>
      <w:r>
        <w:rPr>
          <w:rFonts w:asciiTheme="majorBidi" w:hAnsiTheme="majorBidi" w:cstheme="majorBidi"/>
          <w:i/>
          <w:iCs/>
          <w:sz w:val="24"/>
          <w:szCs w:val="24"/>
          <w:vertAlign w:val="superscript"/>
        </w:rPr>
        <w:t>33</w:t>
      </w:r>
      <w:r>
        <w:rPr>
          <w:rFonts w:asciiTheme="majorBidi" w:hAnsiTheme="majorBidi" w:cstheme="majorBidi"/>
          <w:i/>
          <w:iCs/>
          <w:sz w:val="24"/>
          <w:szCs w:val="24"/>
        </w:rPr>
        <w:t xml:space="preserve">Elles firent donc boire du vin à leur père ce soir-là ; et l’aînée alla coucher avec son père : il ne se rendit compte de rien, ni quand elle se coucha, ni quand elle se leva. </w:t>
      </w:r>
      <w:r>
        <w:rPr>
          <w:rFonts w:asciiTheme="majorBidi" w:hAnsiTheme="majorBidi" w:cstheme="majorBidi"/>
          <w:i/>
          <w:iCs/>
          <w:sz w:val="24"/>
          <w:szCs w:val="24"/>
          <w:vertAlign w:val="superscript"/>
        </w:rPr>
        <w:t>34</w:t>
      </w:r>
      <w:r>
        <w:rPr>
          <w:rFonts w:asciiTheme="majorBidi" w:hAnsiTheme="majorBidi" w:cstheme="majorBidi"/>
          <w:i/>
          <w:iCs/>
          <w:sz w:val="24"/>
          <w:szCs w:val="24"/>
        </w:rPr>
        <w:t xml:space="preserve">Le lendemain, l’aînée dit à la cadette : J’ai couché avec mon père la nuit dernière ; faisons-lui boire du vin ce soir encore, et va coucher avec lui, afin de donner la vie à une descendance issue de notre père. </w:t>
      </w:r>
      <w:r>
        <w:rPr>
          <w:rFonts w:asciiTheme="majorBidi" w:hAnsiTheme="majorBidi" w:cstheme="majorBidi"/>
          <w:i/>
          <w:iCs/>
          <w:sz w:val="24"/>
          <w:szCs w:val="24"/>
          <w:vertAlign w:val="superscript"/>
        </w:rPr>
        <w:t>35</w:t>
      </w:r>
      <w:r>
        <w:rPr>
          <w:rFonts w:asciiTheme="majorBidi" w:hAnsiTheme="majorBidi" w:cstheme="majorBidi"/>
          <w:i/>
          <w:iCs/>
          <w:sz w:val="24"/>
          <w:szCs w:val="24"/>
        </w:rPr>
        <w:t xml:space="preserve">Elles firent boire du vin à leur père ce soir-là encore, et la cadette se releva pour coucher avec lui : il ne se rendit compte de rien, ni quand elle se coucha, ni quand elle se leva. </w:t>
      </w:r>
      <w:r>
        <w:rPr>
          <w:rFonts w:asciiTheme="majorBidi" w:hAnsiTheme="majorBidi" w:cstheme="majorBidi"/>
          <w:i/>
          <w:iCs/>
          <w:sz w:val="24"/>
          <w:szCs w:val="24"/>
          <w:vertAlign w:val="superscript"/>
        </w:rPr>
        <w:t>36</w:t>
      </w:r>
      <w:r>
        <w:rPr>
          <w:rFonts w:asciiTheme="majorBidi" w:hAnsiTheme="majorBidi" w:cstheme="majorBidi"/>
          <w:i/>
          <w:iCs/>
          <w:sz w:val="24"/>
          <w:szCs w:val="24"/>
        </w:rPr>
        <w:t xml:space="preserve">Ainsi les deux filles de Lot furent enceintes de leur père. </w:t>
      </w:r>
      <w:r>
        <w:rPr>
          <w:rFonts w:asciiTheme="majorBidi" w:hAnsiTheme="majorBidi" w:cstheme="majorBidi"/>
          <w:i/>
          <w:iCs/>
          <w:sz w:val="24"/>
          <w:szCs w:val="24"/>
          <w:vertAlign w:val="superscript"/>
        </w:rPr>
        <w:t>37</w:t>
      </w:r>
      <w:r>
        <w:rPr>
          <w:rFonts w:asciiTheme="majorBidi" w:hAnsiTheme="majorBidi" w:cstheme="majorBidi"/>
          <w:i/>
          <w:iCs/>
          <w:sz w:val="24"/>
          <w:szCs w:val="24"/>
        </w:rPr>
        <w:t xml:space="preserve">L’aînée mit au monde un fils qu’elle appela du nom de Moab : c’est le père de Moab – jusqu’à aujourd’hui. </w:t>
      </w:r>
      <w:r>
        <w:rPr>
          <w:rFonts w:asciiTheme="majorBidi" w:hAnsiTheme="majorBidi" w:cstheme="majorBidi"/>
          <w:i/>
          <w:iCs/>
          <w:sz w:val="24"/>
          <w:szCs w:val="24"/>
          <w:vertAlign w:val="superscript"/>
        </w:rPr>
        <w:t>38</w:t>
      </w:r>
      <w:r>
        <w:rPr>
          <w:rFonts w:asciiTheme="majorBidi" w:hAnsiTheme="majorBidi" w:cstheme="majorBidi"/>
          <w:i/>
          <w:iCs/>
          <w:sz w:val="24"/>
          <w:szCs w:val="24"/>
        </w:rPr>
        <w:t>La cadette mit aussi au monde un fils, qu’elle appela du nom de Ben-</w:t>
      </w:r>
      <w:proofErr w:type="spellStart"/>
      <w:r>
        <w:rPr>
          <w:rFonts w:asciiTheme="majorBidi" w:hAnsiTheme="majorBidi" w:cstheme="majorBidi"/>
          <w:i/>
          <w:iCs/>
          <w:sz w:val="24"/>
          <w:szCs w:val="24"/>
        </w:rPr>
        <w:t>Ammi</w:t>
      </w:r>
      <w:proofErr w:type="spellEnd"/>
      <w:r>
        <w:rPr>
          <w:rFonts w:asciiTheme="majorBidi" w:hAnsiTheme="majorBidi" w:cstheme="majorBidi"/>
          <w:i/>
          <w:iCs/>
          <w:sz w:val="24"/>
          <w:szCs w:val="24"/>
        </w:rPr>
        <w:t xml:space="preserve"> (« Fils de mon peuple ») : c’est le père des Ammonites – jusqu’à aujourd’hui.</w:t>
      </w:r>
    </w:p>
    <w:p w:rsidR="00A6718C" w:rsidRDefault="00A6718C" w:rsidP="00C4590D">
      <w:pPr>
        <w:spacing w:after="60"/>
        <w:jc w:val="both"/>
        <w:rPr>
          <w:rFonts w:asciiTheme="majorBidi" w:hAnsiTheme="majorBidi" w:cstheme="majorBidi"/>
          <w:sz w:val="24"/>
          <w:szCs w:val="24"/>
        </w:rPr>
      </w:pPr>
    </w:p>
    <w:p w:rsidR="00A6718C" w:rsidRPr="00C4590D" w:rsidRDefault="00A6718C" w:rsidP="00C4590D">
      <w:pPr>
        <w:spacing w:after="60"/>
        <w:jc w:val="both"/>
        <w:rPr>
          <w:rFonts w:asciiTheme="majorBidi" w:hAnsiTheme="majorBidi" w:cstheme="majorBidi"/>
          <w:sz w:val="28"/>
          <w:szCs w:val="28"/>
        </w:rPr>
      </w:pPr>
      <w:r w:rsidRPr="00C4590D">
        <w:rPr>
          <w:rFonts w:asciiTheme="majorBidi" w:hAnsiTheme="majorBidi" w:cstheme="majorBidi"/>
          <w:b/>
          <w:bCs/>
          <w:sz w:val="28"/>
          <w:szCs w:val="28"/>
        </w:rPr>
        <w:t xml:space="preserve">5. </w:t>
      </w:r>
      <w:r w:rsidRPr="00C4590D">
        <w:rPr>
          <w:rFonts w:asciiTheme="majorBidi" w:hAnsiTheme="majorBidi" w:cstheme="majorBidi"/>
          <w:b/>
          <w:bCs/>
          <w:sz w:val="28"/>
          <w:szCs w:val="28"/>
        </w:rPr>
        <w:t>L’inceste, une abomination, une transgression</w:t>
      </w:r>
      <w:r w:rsidRPr="00C4590D">
        <w:rPr>
          <w:rFonts w:asciiTheme="majorBidi" w:hAnsiTheme="majorBidi" w:cstheme="majorBidi"/>
          <w:b/>
          <w:bCs/>
          <w:sz w:val="28"/>
          <w:szCs w:val="28"/>
        </w:rPr>
        <w:t> : l</w:t>
      </w:r>
      <w:r w:rsidRPr="00C4590D">
        <w:rPr>
          <w:rFonts w:asciiTheme="majorBidi" w:hAnsiTheme="majorBidi" w:cstheme="majorBidi"/>
          <w:b/>
          <w:bCs/>
          <w:sz w:val="28"/>
          <w:szCs w:val="28"/>
        </w:rPr>
        <w:t>a Loi de Moïse condamne.</w:t>
      </w:r>
    </w:p>
    <w:p w:rsidR="00A6718C"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t xml:space="preserve">Le livre du </w:t>
      </w:r>
      <w:r w:rsidRPr="00467894">
        <w:rPr>
          <w:rFonts w:asciiTheme="majorBidi" w:hAnsiTheme="majorBidi" w:cstheme="majorBidi"/>
          <w:b/>
          <w:bCs/>
          <w:sz w:val="24"/>
          <w:szCs w:val="24"/>
        </w:rPr>
        <w:t>Lévitique</w:t>
      </w:r>
      <w:r>
        <w:rPr>
          <w:rFonts w:asciiTheme="majorBidi" w:hAnsiTheme="majorBidi" w:cstheme="majorBidi"/>
          <w:sz w:val="24"/>
          <w:szCs w:val="24"/>
        </w:rPr>
        <w:t>, presque entièrement consacré aux lois d’Israël, condamne avec force l’inceste, parmi les unions illicites.</w:t>
      </w:r>
    </w:p>
    <w:p w:rsidR="00A6718C" w:rsidRPr="007246AA" w:rsidRDefault="00A6718C" w:rsidP="00C4590D">
      <w:pPr>
        <w:spacing w:after="60"/>
        <w:jc w:val="both"/>
        <w:rPr>
          <w:rFonts w:asciiTheme="majorBidi" w:hAnsiTheme="majorBidi" w:cstheme="majorBidi"/>
          <w:i/>
          <w:iCs/>
          <w:sz w:val="24"/>
          <w:szCs w:val="24"/>
        </w:rPr>
      </w:pPr>
      <w:proofErr w:type="spellStart"/>
      <w:r w:rsidRPr="005B53DE">
        <w:rPr>
          <w:rFonts w:asciiTheme="majorBidi" w:hAnsiTheme="majorBidi" w:cstheme="majorBidi"/>
          <w:b/>
          <w:bCs/>
          <w:sz w:val="24"/>
          <w:szCs w:val="24"/>
        </w:rPr>
        <w:t>Lv</w:t>
      </w:r>
      <w:proofErr w:type="spellEnd"/>
      <w:r w:rsidRPr="005B53DE">
        <w:rPr>
          <w:rFonts w:asciiTheme="majorBidi" w:hAnsiTheme="majorBidi" w:cstheme="majorBidi"/>
          <w:b/>
          <w:bCs/>
          <w:sz w:val="24"/>
          <w:szCs w:val="24"/>
        </w:rPr>
        <w:t xml:space="preserve"> 18,6</w:t>
      </w:r>
      <w:r>
        <w:rPr>
          <w:rFonts w:asciiTheme="majorBidi" w:hAnsiTheme="majorBidi" w:cstheme="majorBidi"/>
          <w:sz w:val="24"/>
          <w:szCs w:val="24"/>
        </w:rPr>
        <w:t xml:space="preserve"> donne la </w:t>
      </w:r>
      <w:r w:rsidRPr="005B53DE">
        <w:rPr>
          <w:rFonts w:asciiTheme="majorBidi" w:hAnsiTheme="majorBidi" w:cstheme="majorBidi"/>
          <w:b/>
          <w:bCs/>
          <w:sz w:val="24"/>
          <w:szCs w:val="24"/>
        </w:rPr>
        <w:t>règle générale</w:t>
      </w:r>
      <w:r>
        <w:rPr>
          <w:rFonts w:asciiTheme="majorBidi" w:hAnsiTheme="majorBidi" w:cstheme="majorBidi"/>
          <w:sz w:val="24"/>
          <w:szCs w:val="24"/>
        </w:rPr>
        <w:t xml:space="preserve"> : </w:t>
      </w:r>
      <w:r>
        <w:rPr>
          <w:rFonts w:asciiTheme="majorBidi" w:hAnsiTheme="majorBidi" w:cstheme="majorBidi"/>
          <w:i/>
          <w:iCs/>
          <w:sz w:val="24"/>
          <w:szCs w:val="24"/>
        </w:rPr>
        <w:t xml:space="preserve">Chacun d’entre vous n’approchez </w:t>
      </w:r>
      <w:r w:rsidRPr="00C201AE">
        <w:rPr>
          <w:rFonts w:asciiTheme="majorBidi" w:hAnsiTheme="majorBidi" w:cstheme="majorBidi"/>
          <w:b/>
          <w:bCs/>
          <w:i/>
          <w:iCs/>
          <w:sz w:val="24"/>
          <w:szCs w:val="24"/>
        </w:rPr>
        <w:t>aucune parente</w:t>
      </w:r>
      <w:r>
        <w:rPr>
          <w:rFonts w:asciiTheme="majorBidi" w:hAnsiTheme="majorBidi" w:cstheme="majorBidi"/>
          <w:i/>
          <w:iCs/>
          <w:sz w:val="24"/>
          <w:szCs w:val="24"/>
        </w:rPr>
        <w:t>, pour en découvrir la nudité : je suis l’Eternel (YHWH)</w:t>
      </w:r>
      <w:r>
        <w:rPr>
          <w:rStyle w:val="Appelnotedebasdep"/>
          <w:rFonts w:asciiTheme="majorBidi" w:hAnsiTheme="majorBidi" w:cstheme="majorBidi"/>
          <w:i/>
          <w:iCs/>
          <w:sz w:val="24"/>
          <w:szCs w:val="24"/>
        </w:rPr>
        <w:footnoteReference w:id="3"/>
      </w:r>
    </w:p>
    <w:p w:rsidR="00A6718C"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t>Découvrir la nudité de quelqu’un est un hébraïsme qui signifie : avoir des relations sexuelles.</w:t>
      </w:r>
    </w:p>
    <w:p w:rsidR="00A6718C" w:rsidRPr="00467894"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lastRenderedPageBreak/>
        <w:t xml:space="preserve">Ce verset s’applique aux relations parents-enfants en premier lieu, et à d’autres relations incestueuses, qui sont détaillées dans les versets 7 à 18. Les versets suivants, 19 à 23, exposent d’autres unions illicites (dont l’adultère au v.20). Les derniers versets du chapitre, 24 à 30, sont une mise en garde et une exhortation : le Seigneur a chassé de leur terre les peuples qui ont commis ces abominations… ne faites pas comme eux ! Israël ne serait pas chassé du pays, mais ceux qui se souilleront par ces unions interdites, </w:t>
      </w:r>
      <w:r w:rsidRPr="00C93F99">
        <w:rPr>
          <w:rFonts w:asciiTheme="majorBidi" w:hAnsiTheme="majorBidi" w:cstheme="majorBidi"/>
          <w:i/>
          <w:iCs/>
          <w:sz w:val="24"/>
          <w:szCs w:val="24"/>
        </w:rPr>
        <w:t>seront retranchés du sein de leur peuple</w:t>
      </w:r>
      <w:r>
        <w:rPr>
          <w:rFonts w:asciiTheme="majorBidi" w:hAnsiTheme="majorBidi" w:cstheme="majorBidi"/>
          <w:sz w:val="24"/>
          <w:szCs w:val="24"/>
        </w:rPr>
        <w:t>, peut-on lire au verset 29. Le chapitre 20 explicite le châtiment encouru : mise à mort, mise au ban de la communauté, stérilité, selon les cas (</w:t>
      </w:r>
      <w:proofErr w:type="spellStart"/>
      <w:r>
        <w:rPr>
          <w:rFonts w:asciiTheme="majorBidi" w:hAnsiTheme="majorBidi" w:cstheme="majorBidi"/>
          <w:sz w:val="24"/>
          <w:szCs w:val="24"/>
        </w:rPr>
        <w:t>Lv</w:t>
      </w:r>
      <w:proofErr w:type="spellEnd"/>
      <w:r>
        <w:rPr>
          <w:rFonts w:asciiTheme="majorBidi" w:hAnsiTheme="majorBidi" w:cstheme="majorBidi"/>
          <w:sz w:val="24"/>
          <w:szCs w:val="24"/>
        </w:rPr>
        <w:t xml:space="preserve"> 20,11-21)</w:t>
      </w:r>
      <w:r w:rsidRPr="00467894">
        <w:rPr>
          <w:rStyle w:val="Appelnotedebasdep"/>
          <w:rFonts w:asciiTheme="majorBidi" w:hAnsiTheme="majorBidi" w:cstheme="majorBidi"/>
          <w:sz w:val="24"/>
          <w:szCs w:val="24"/>
        </w:rPr>
        <w:t xml:space="preserve"> </w:t>
      </w:r>
      <w:r>
        <w:rPr>
          <w:rStyle w:val="Appelnotedebasdep"/>
          <w:rFonts w:asciiTheme="majorBidi" w:hAnsiTheme="majorBidi" w:cstheme="majorBidi"/>
          <w:sz w:val="24"/>
          <w:szCs w:val="24"/>
        </w:rPr>
        <w:footnoteReference w:id="4"/>
      </w:r>
      <w:r>
        <w:rPr>
          <w:rFonts w:asciiTheme="majorBidi" w:hAnsiTheme="majorBidi" w:cstheme="majorBidi"/>
          <w:sz w:val="24"/>
          <w:szCs w:val="24"/>
        </w:rPr>
        <w:t>.</w:t>
      </w:r>
    </w:p>
    <w:p w:rsidR="00A6718C" w:rsidRDefault="00A6718C" w:rsidP="00C4590D">
      <w:pPr>
        <w:spacing w:after="60"/>
        <w:jc w:val="both"/>
        <w:rPr>
          <w:rFonts w:asciiTheme="majorBidi" w:hAnsiTheme="majorBidi" w:cstheme="majorBidi"/>
          <w:sz w:val="24"/>
          <w:szCs w:val="24"/>
        </w:rPr>
      </w:pPr>
    </w:p>
    <w:p w:rsidR="00A6718C" w:rsidRPr="00C4590D" w:rsidRDefault="00A6718C" w:rsidP="00C4590D">
      <w:pPr>
        <w:spacing w:after="60"/>
        <w:jc w:val="both"/>
        <w:rPr>
          <w:rFonts w:asciiTheme="majorBidi" w:hAnsiTheme="majorBidi" w:cstheme="majorBidi"/>
          <w:sz w:val="28"/>
          <w:szCs w:val="28"/>
        </w:rPr>
      </w:pPr>
      <w:r w:rsidRPr="00C4590D">
        <w:rPr>
          <w:rFonts w:asciiTheme="majorBidi" w:hAnsiTheme="majorBidi" w:cstheme="majorBidi"/>
          <w:b/>
          <w:bCs/>
          <w:sz w:val="28"/>
          <w:szCs w:val="28"/>
        </w:rPr>
        <w:t xml:space="preserve">6. </w:t>
      </w:r>
      <w:r w:rsidRPr="00C4590D">
        <w:rPr>
          <w:rFonts w:asciiTheme="majorBidi" w:hAnsiTheme="majorBidi" w:cstheme="majorBidi"/>
          <w:b/>
          <w:bCs/>
          <w:sz w:val="28"/>
          <w:szCs w:val="28"/>
        </w:rPr>
        <w:t>L’inceste, une solution contre la fin du monde</w:t>
      </w:r>
      <w:r w:rsidRPr="00C4590D">
        <w:rPr>
          <w:rFonts w:asciiTheme="majorBidi" w:hAnsiTheme="majorBidi" w:cstheme="majorBidi"/>
          <w:b/>
          <w:bCs/>
          <w:sz w:val="28"/>
          <w:szCs w:val="28"/>
        </w:rPr>
        <w:t> :</w:t>
      </w:r>
      <w:r w:rsidRPr="00C4590D">
        <w:rPr>
          <w:rFonts w:asciiTheme="majorBidi" w:hAnsiTheme="majorBidi" w:cstheme="majorBidi"/>
          <w:b/>
          <w:bCs/>
          <w:sz w:val="28"/>
          <w:szCs w:val="28"/>
        </w:rPr>
        <w:t xml:space="preserve"> Le rédacteur biblique ne condamne pas.</w:t>
      </w:r>
    </w:p>
    <w:p w:rsidR="00A6718C"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t>L’histoire de Sodome et de la famille de Lot fait écho aux mythes d’anéantissement de l’humanité par Dieu ou par les dieux des mythologies de l’Orient ancien, avec la préservation d’un couple à partir duquel tout recommence. Destruction par l’eau (épopée de Gilgamesh, livre de la Genèse chapitres 6 à 9), ou par la maladie (mythe d’</w:t>
      </w:r>
      <w:proofErr w:type="spellStart"/>
      <w:r>
        <w:rPr>
          <w:rFonts w:asciiTheme="majorBidi" w:hAnsiTheme="majorBidi" w:cstheme="majorBidi"/>
          <w:sz w:val="24"/>
          <w:szCs w:val="24"/>
        </w:rPr>
        <w:t>Atrahasis</w:t>
      </w:r>
      <w:proofErr w:type="spellEnd"/>
      <w:r>
        <w:rPr>
          <w:rFonts w:asciiTheme="majorBidi" w:hAnsiTheme="majorBidi" w:cstheme="majorBidi"/>
          <w:sz w:val="24"/>
          <w:szCs w:val="24"/>
        </w:rPr>
        <w:t>) ; ici c’est la destruction par le feu et le soufre. La situation est extrême, la solution sera extrême.</w:t>
      </w:r>
    </w:p>
    <w:p w:rsidR="00A6718C"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t>La destruction de Sodome et des autres villes du District, est vue par les filles de Lot, c’est l’aînée qui l’exprime, comme la fin du monde habité : il n’y a plus d’homme dans le pays, ou plus d’homme sur la terre, croit-elle. Dès lors, comment se reproduire autrement que par l’inceste ?</w:t>
      </w:r>
    </w:p>
    <w:p w:rsidR="00A6718C" w:rsidRDefault="00A6718C" w:rsidP="00C4590D">
      <w:pPr>
        <w:spacing w:after="60"/>
        <w:jc w:val="both"/>
        <w:rPr>
          <w:rFonts w:asciiTheme="majorBidi" w:hAnsiTheme="majorBidi" w:cstheme="majorBidi"/>
          <w:sz w:val="24"/>
          <w:szCs w:val="24"/>
        </w:rPr>
      </w:pPr>
      <w:r>
        <w:rPr>
          <w:rFonts w:asciiTheme="majorBidi" w:hAnsiTheme="majorBidi" w:cstheme="majorBidi"/>
          <w:sz w:val="24"/>
          <w:szCs w:val="24"/>
        </w:rPr>
        <w:t>Leur mère étant morte, les filles de Lot pouvaient croire également qu’elles restaient les seules femmes sur terre : la continuité de l’espèce humaine leur était donc dévolue. La pureté de leurs intentions se déduit aussi du fait que, enceintes dès la première nuit, ces femmes n’ont pas poursuivi leur relation incestueuse avec leur père. La majorité des traditions sur ce récit jugent les filles de Lot avec clémence, faisant passer l’urgence de la continuité de la vie avant la morale. C’est un problème de vie et de mort qu’elles ont à résoudre.</w:t>
      </w:r>
    </w:p>
    <w:p w:rsidR="00A6718C" w:rsidRDefault="00A6718C" w:rsidP="00C4590D">
      <w:pPr>
        <w:pStyle w:val="Paragraphedeliste"/>
        <w:spacing w:after="60"/>
        <w:ind w:left="0"/>
        <w:jc w:val="both"/>
        <w:rPr>
          <w:rFonts w:asciiTheme="majorBidi" w:hAnsiTheme="majorBidi" w:cstheme="majorBidi"/>
          <w:sz w:val="24"/>
          <w:szCs w:val="24"/>
        </w:rPr>
      </w:pPr>
      <w:r>
        <w:rPr>
          <w:rFonts w:asciiTheme="majorBidi" w:hAnsiTheme="majorBidi" w:cstheme="majorBidi"/>
          <w:sz w:val="24"/>
          <w:szCs w:val="24"/>
        </w:rPr>
        <w:t>Le Talmud est plus sévère avec Lot. Quelques détails du texte hébreu font dire aux rabbins que Lot n’avait pas pu ignorer la présence de sa fille aînée près de lui, et que malgré cela il s’est laissé enivrer le deuxième soir.</w:t>
      </w:r>
    </w:p>
    <w:p w:rsidR="00A6718C" w:rsidRDefault="00A6718C" w:rsidP="00C4590D">
      <w:pPr>
        <w:pStyle w:val="Paragraphedeliste"/>
        <w:spacing w:after="60"/>
        <w:ind w:left="0"/>
        <w:jc w:val="both"/>
        <w:rPr>
          <w:rFonts w:asciiTheme="majorBidi" w:hAnsiTheme="majorBidi" w:cstheme="majorBidi"/>
          <w:sz w:val="24"/>
          <w:szCs w:val="24"/>
        </w:rPr>
      </w:pPr>
    </w:p>
    <w:p w:rsidR="00A6718C" w:rsidRPr="00C4590D" w:rsidRDefault="00A6718C" w:rsidP="00C4590D">
      <w:pPr>
        <w:pStyle w:val="Paragraphedeliste"/>
        <w:spacing w:after="60"/>
        <w:ind w:left="0"/>
        <w:jc w:val="both"/>
        <w:rPr>
          <w:rFonts w:asciiTheme="majorBidi" w:hAnsiTheme="majorBidi" w:cstheme="majorBidi"/>
          <w:sz w:val="28"/>
          <w:szCs w:val="28"/>
        </w:rPr>
      </w:pPr>
      <w:r w:rsidRPr="00C4590D">
        <w:rPr>
          <w:rFonts w:asciiTheme="majorBidi" w:hAnsiTheme="majorBidi" w:cstheme="majorBidi"/>
          <w:b/>
          <w:bCs/>
          <w:sz w:val="28"/>
          <w:szCs w:val="28"/>
        </w:rPr>
        <w:t xml:space="preserve">7. </w:t>
      </w:r>
      <w:r w:rsidRPr="00C4590D">
        <w:rPr>
          <w:rFonts w:asciiTheme="majorBidi" w:hAnsiTheme="majorBidi" w:cstheme="majorBidi"/>
          <w:b/>
          <w:bCs/>
          <w:sz w:val="28"/>
          <w:szCs w:val="28"/>
        </w:rPr>
        <w:t>Des filles anonymes</w:t>
      </w:r>
    </w:p>
    <w:p w:rsidR="00A6718C" w:rsidRDefault="00A6718C" w:rsidP="00C4590D">
      <w:pPr>
        <w:pStyle w:val="Paragraphedeliste"/>
        <w:spacing w:after="60"/>
        <w:ind w:left="0"/>
        <w:jc w:val="both"/>
        <w:rPr>
          <w:rFonts w:asciiTheme="majorBidi" w:hAnsiTheme="majorBidi" w:cstheme="majorBidi"/>
          <w:sz w:val="24"/>
          <w:szCs w:val="24"/>
        </w:rPr>
      </w:pPr>
      <w:r>
        <w:rPr>
          <w:rFonts w:asciiTheme="majorBidi" w:hAnsiTheme="majorBidi" w:cstheme="majorBidi"/>
          <w:sz w:val="24"/>
          <w:szCs w:val="24"/>
        </w:rPr>
        <w:t xml:space="preserve">Jusqu’à la fin du récit, les filles de Lot restent dans l’ombre de leur père. Ce sont des femmes sans nom, comme beaucoup d’autres femmes de la Bible. Ne pas avoir de nom, ce n’est pas être insignifiant. La plupart de ces femmes sans nom ont modifié le cours normal de la vie. Seul </w:t>
      </w:r>
      <w:r w:rsidRPr="00051A6B">
        <w:rPr>
          <w:rFonts w:asciiTheme="majorBidi" w:hAnsiTheme="majorBidi" w:cstheme="majorBidi"/>
          <w:b/>
          <w:bCs/>
          <w:sz w:val="24"/>
          <w:szCs w:val="24"/>
        </w:rPr>
        <w:t>le midrash</w:t>
      </w:r>
      <w:r>
        <w:rPr>
          <w:rFonts w:asciiTheme="majorBidi" w:hAnsiTheme="majorBidi" w:cstheme="majorBidi"/>
          <w:sz w:val="24"/>
          <w:szCs w:val="24"/>
        </w:rPr>
        <w:t xml:space="preserve"> peut les faire sortir de l’anonymat. </w:t>
      </w:r>
    </w:p>
    <w:p w:rsidR="00A6718C" w:rsidRPr="00A6718C" w:rsidRDefault="00A6718C" w:rsidP="00C4590D">
      <w:pPr>
        <w:pStyle w:val="Paragraphedeliste"/>
        <w:spacing w:after="60"/>
        <w:ind w:left="993"/>
        <w:jc w:val="both"/>
        <w:rPr>
          <w:rFonts w:asciiTheme="majorBidi" w:hAnsiTheme="majorBidi" w:cstheme="majorBidi"/>
        </w:rPr>
      </w:pPr>
      <w:r w:rsidRPr="00A6718C">
        <w:rPr>
          <w:rFonts w:asciiTheme="majorBidi" w:hAnsiTheme="majorBidi" w:cstheme="majorBidi"/>
        </w:rPr>
        <w:t xml:space="preserve">Un midrash sur l’aînée des filles de Lot, raconte qu’elle se nommait </w:t>
      </w:r>
      <w:proofErr w:type="spellStart"/>
      <w:r w:rsidRPr="00A6718C">
        <w:rPr>
          <w:rFonts w:asciiTheme="majorBidi" w:hAnsiTheme="majorBidi" w:cstheme="majorBidi"/>
        </w:rPr>
        <w:t>Paltit</w:t>
      </w:r>
      <w:proofErr w:type="spellEnd"/>
      <w:r w:rsidRPr="00A6718C">
        <w:rPr>
          <w:rFonts w:asciiTheme="majorBidi" w:hAnsiTheme="majorBidi" w:cstheme="majorBidi"/>
        </w:rPr>
        <w:t xml:space="preserve"> (« rescapée », appelée ainsi parce que</w:t>
      </w:r>
      <w:r w:rsidR="00104B0E">
        <w:rPr>
          <w:rFonts w:asciiTheme="majorBidi" w:hAnsiTheme="majorBidi" w:cstheme="majorBidi"/>
        </w:rPr>
        <w:t xml:space="preserve"> son père avait été fait prisonnier lors d’une guerre ; Abraham l’avait délivrée  (Gn14); et elle était</w:t>
      </w:r>
      <w:r w:rsidRPr="00A6718C">
        <w:rPr>
          <w:rFonts w:asciiTheme="majorBidi" w:hAnsiTheme="majorBidi" w:cstheme="majorBidi"/>
        </w:rPr>
        <w:t xml:space="preserve"> née peu après</w:t>
      </w:r>
      <w:r w:rsidR="00104B0E">
        <w:rPr>
          <w:rFonts w:asciiTheme="majorBidi" w:hAnsiTheme="majorBidi" w:cstheme="majorBidi"/>
        </w:rPr>
        <w:t xml:space="preserve">). </w:t>
      </w:r>
      <w:proofErr w:type="spellStart"/>
      <w:r w:rsidR="00104B0E">
        <w:rPr>
          <w:rFonts w:asciiTheme="majorBidi" w:hAnsiTheme="majorBidi" w:cstheme="majorBidi"/>
        </w:rPr>
        <w:t>Paltit</w:t>
      </w:r>
      <w:proofErr w:type="spellEnd"/>
      <w:r w:rsidRPr="00A6718C">
        <w:rPr>
          <w:rFonts w:asciiTheme="majorBidi" w:hAnsiTheme="majorBidi" w:cstheme="majorBidi"/>
        </w:rPr>
        <w:t xml:space="preserve"> contrevenait aux lois de la cité en pratiquant la justice ; elle nourrissait chaque jour un homme pauvre. Arrêtée pour être jetée au feu, elle prie : « Dieu de l’univers, accomplis pour moi la justice et le jugement sur les habitants de Sodome. » Son cri s’éleva jusqu’au trône de Gloire. Dieu dit : « je veux descendre et voir s’ils se sont comportés selon sa plainte. Si c’est le cas, je retournerai les fondations de cette ville sens dessus dessous. »</w:t>
      </w:r>
      <w:r w:rsidRPr="00A6718C">
        <w:rPr>
          <w:rStyle w:val="Appelnotedebasdep"/>
          <w:rFonts w:asciiTheme="majorBidi" w:hAnsiTheme="majorBidi" w:cstheme="majorBidi"/>
        </w:rPr>
        <w:footnoteReference w:id="5"/>
      </w:r>
    </w:p>
    <w:p w:rsidR="00A6718C" w:rsidRPr="00A6718C" w:rsidRDefault="00A6718C" w:rsidP="00C4590D">
      <w:pPr>
        <w:pStyle w:val="Paragraphedeliste"/>
        <w:spacing w:after="60"/>
        <w:ind w:left="993"/>
        <w:jc w:val="both"/>
        <w:rPr>
          <w:rFonts w:asciiTheme="majorBidi" w:hAnsiTheme="majorBidi" w:cstheme="majorBidi"/>
        </w:rPr>
      </w:pPr>
      <w:r w:rsidRPr="00A6718C">
        <w:rPr>
          <w:rFonts w:asciiTheme="majorBidi" w:hAnsiTheme="majorBidi" w:cstheme="majorBidi"/>
        </w:rPr>
        <w:lastRenderedPageBreak/>
        <w:t>Quand Dieu miséricordieux descend (et il y a dix descentes divines dans la Thora), il ouvre la porte du repentir. Lot et ses filles ont ouvert leur cœur à l’amour de Dieu.</w:t>
      </w:r>
    </w:p>
    <w:p w:rsidR="00A6718C" w:rsidRDefault="00A6718C" w:rsidP="00C4590D">
      <w:pPr>
        <w:pStyle w:val="Paragraphedeliste"/>
        <w:spacing w:after="60"/>
        <w:ind w:left="0"/>
        <w:jc w:val="both"/>
        <w:rPr>
          <w:rFonts w:asciiTheme="majorBidi" w:hAnsiTheme="majorBidi" w:cstheme="majorBidi"/>
          <w:sz w:val="24"/>
          <w:szCs w:val="24"/>
        </w:rPr>
      </w:pPr>
    </w:p>
    <w:p w:rsidR="00A6718C" w:rsidRPr="00C4590D" w:rsidRDefault="00A6718C" w:rsidP="00C4590D">
      <w:pPr>
        <w:pStyle w:val="Paragraphedeliste"/>
        <w:spacing w:after="60"/>
        <w:ind w:left="0"/>
        <w:jc w:val="both"/>
        <w:rPr>
          <w:rFonts w:asciiTheme="majorBidi" w:hAnsiTheme="majorBidi" w:cstheme="majorBidi"/>
          <w:sz w:val="28"/>
          <w:szCs w:val="28"/>
        </w:rPr>
      </w:pPr>
      <w:r w:rsidRPr="00C4590D">
        <w:rPr>
          <w:rFonts w:asciiTheme="majorBidi" w:hAnsiTheme="majorBidi" w:cstheme="majorBidi"/>
          <w:b/>
          <w:bCs/>
          <w:sz w:val="28"/>
          <w:szCs w:val="28"/>
        </w:rPr>
        <w:t xml:space="preserve">8. </w:t>
      </w:r>
      <w:r w:rsidRPr="00C4590D">
        <w:rPr>
          <w:rFonts w:asciiTheme="majorBidi" w:hAnsiTheme="majorBidi" w:cstheme="majorBidi"/>
          <w:b/>
          <w:bCs/>
          <w:sz w:val="28"/>
          <w:szCs w:val="28"/>
        </w:rPr>
        <w:t>Deux fils qui deviendront les pères de deux peuples puissants</w:t>
      </w:r>
    </w:p>
    <w:p w:rsidR="00A6718C" w:rsidRDefault="00A6718C" w:rsidP="00C4590D">
      <w:pPr>
        <w:pStyle w:val="Paragraphedeliste"/>
        <w:spacing w:after="60"/>
        <w:ind w:left="0"/>
        <w:jc w:val="both"/>
        <w:rPr>
          <w:rFonts w:asciiTheme="majorBidi" w:hAnsiTheme="majorBidi" w:cstheme="majorBidi"/>
          <w:sz w:val="24"/>
          <w:szCs w:val="24"/>
        </w:rPr>
      </w:pPr>
      <w:r>
        <w:rPr>
          <w:rFonts w:asciiTheme="majorBidi" w:hAnsiTheme="majorBidi" w:cstheme="majorBidi"/>
          <w:sz w:val="24"/>
          <w:szCs w:val="24"/>
        </w:rPr>
        <w:t xml:space="preserve">A l’inverse de leurs mères, </w:t>
      </w:r>
      <w:r w:rsidRPr="009A63C4">
        <w:rPr>
          <w:rFonts w:asciiTheme="majorBidi" w:hAnsiTheme="majorBidi" w:cstheme="majorBidi"/>
          <w:b/>
          <w:bCs/>
          <w:sz w:val="24"/>
          <w:szCs w:val="24"/>
        </w:rPr>
        <w:t>les fils</w:t>
      </w:r>
      <w:r>
        <w:rPr>
          <w:rFonts w:asciiTheme="majorBidi" w:hAnsiTheme="majorBidi" w:cstheme="majorBidi"/>
          <w:sz w:val="24"/>
          <w:szCs w:val="24"/>
        </w:rPr>
        <w:t xml:space="preserve"> qui naissent d</w:t>
      </w:r>
      <w:r w:rsidR="00104B0E">
        <w:rPr>
          <w:rFonts w:asciiTheme="majorBidi" w:hAnsiTheme="majorBidi" w:cstheme="majorBidi"/>
          <w:sz w:val="24"/>
          <w:szCs w:val="24"/>
        </w:rPr>
        <w:t>e c</w:t>
      </w:r>
      <w:r>
        <w:rPr>
          <w:rFonts w:asciiTheme="majorBidi" w:hAnsiTheme="majorBidi" w:cstheme="majorBidi"/>
          <w:sz w:val="24"/>
          <w:szCs w:val="24"/>
        </w:rPr>
        <w:t xml:space="preserve">es deux unions incestueuses </w:t>
      </w:r>
      <w:r w:rsidRPr="009A63C4">
        <w:rPr>
          <w:rFonts w:asciiTheme="majorBidi" w:hAnsiTheme="majorBidi" w:cstheme="majorBidi"/>
          <w:b/>
          <w:bCs/>
          <w:sz w:val="24"/>
          <w:szCs w:val="24"/>
        </w:rPr>
        <w:t>sont nommés</w:t>
      </w:r>
      <w:r>
        <w:rPr>
          <w:rFonts w:asciiTheme="majorBidi" w:hAnsiTheme="majorBidi" w:cstheme="majorBidi"/>
          <w:sz w:val="24"/>
          <w:szCs w:val="24"/>
        </w:rPr>
        <w:t>. Ils le sont par les mères, qui révèlent ainsi quelque chose de leur personnalité.</w:t>
      </w:r>
    </w:p>
    <w:p w:rsidR="00A6718C" w:rsidRDefault="00A6718C" w:rsidP="00C4590D">
      <w:pPr>
        <w:pStyle w:val="Paragraphedeliste"/>
        <w:numPr>
          <w:ilvl w:val="0"/>
          <w:numId w:val="2"/>
        </w:numPr>
        <w:spacing w:after="60"/>
        <w:jc w:val="both"/>
        <w:rPr>
          <w:rFonts w:asciiTheme="majorBidi" w:hAnsiTheme="majorBidi" w:cstheme="majorBidi"/>
          <w:sz w:val="24"/>
          <w:szCs w:val="24"/>
        </w:rPr>
      </w:pPr>
      <w:r>
        <w:rPr>
          <w:rFonts w:asciiTheme="majorBidi" w:hAnsiTheme="majorBidi" w:cstheme="majorBidi"/>
          <w:sz w:val="24"/>
          <w:szCs w:val="24"/>
        </w:rPr>
        <w:t xml:space="preserve">L’aînée nomme son fils, avec beaucoup d’orgueil et assez impudiquement, </w:t>
      </w:r>
      <w:r w:rsidRPr="009A63C4">
        <w:rPr>
          <w:rFonts w:asciiTheme="majorBidi" w:hAnsiTheme="majorBidi" w:cstheme="majorBidi"/>
          <w:b/>
          <w:bCs/>
          <w:i/>
          <w:iCs/>
          <w:sz w:val="24"/>
          <w:szCs w:val="24"/>
        </w:rPr>
        <w:t>MOAV</w:t>
      </w:r>
      <w:r>
        <w:rPr>
          <w:rFonts w:asciiTheme="majorBidi" w:hAnsiTheme="majorBidi" w:cstheme="majorBidi"/>
          <w:sz w:val="24"/>
          <w:szCs w:val="24"/>
        </w:rPr>
        <w:t xml:space="preserve">, ce qui signifie : </w:t>
      </w:r>
      <w:r>
        <w:rPr>
          <w:rFonts w:asciiTheme="majorBidi" w:hAnsiTheme="majorBidi" w:cstheme="majorBidi"/>
          <w:i/>
          <w:iCs/>
          <w:sz w:val="24"/>
          <w:szCs w:val="24"/>
        </w:rPr>
        <w:t>Issu du père</w:t>
      </w:r>
      <w:r>
        <w:rPr>
          <w:rFonts w:asciiTheme="majorBidi" w:hAnsiTheme="majorBidi" w:cstheme="majorBidi"/>
          <w:sz w:val="24"/>
          <w:szCs w:val="24"/>
        </w:rPr>
        <w:t xml:space="preserve">. Elle ne cherche pas à cacher l’origine de l’enfant. Elle est impudique dans le choix du nom, comme elle l’a été quand elle a élaboré un stratagème de procréation. </w:t>
      </w:r>
      <w:proofErr w:type="spellStart"/>
      <w:r>
        <w:rPr>
          <w:rFonts w:asciiTheme="majorBidi" w:hAnsiTheme="majorBidi" w:cstheme="majorBidi"/>
          <w:i/>
          <w:iCs/>
          <w:sz w:val="24"/>
          <w:szCs w:val="24"/>
        </w:rPr>
        <w:t>Moav</w:t>
      </w:r>
      <w:proofErr w:type="spellEnd"/>
      <w:r>
        <w:rPr>
          <w:rFonts w:asciiTheme="majorBidi" w:hAnsiTheme="majorBidi" w:cstheme="majorBidi"/>
          <w:sz w:val="24"/>
          <w:szCs w:val="24"/>
        </w:rPr>
        <w:t xml:space="preserve"> deviendra le père des Moabites.</w:t>
      </w:r>
    </w:p>
    <w:p w:rsidR="00A6718C" w:rsidRDefault="00A6718C" w:rsidP="00C4590D">
      <w:pPr>
        <w:pStyle w:val="Paragraphedeliste"/>
        <w:numPr>
          <w:ilvl w:val="0"/>
          <w:numId w:val="2"/>
        </w:numPr>
        <w:spacing w:after="60"/>
        <w:jc w:val="both"/>
        <w:rPr>
          <w:rFonts w:asciiTheme="majorBidi" w:hAnsiTheme="majorBidi" w:cstheme="majorBidi"/>
          <w:sz w:val="24"/>
          <w:szCs w:val="24"/>
        </w:rPr>
      </w:pPr>
      <w:r>
        <w:rPr>
          <w:rFonts w:asciiTheme="majorBidi" w:hAnsiTheme="majorBidi" w:cstheme="majorBidi"/>
          <w:sz w:val="24"/>
          <w:szCs w:val="24"/>
        </w:rPr>
        <w:t xml:space="preserve">La cadette, plus humble que sa sœur, nomme son fils </w:t>
      </w:r>
      <w:r w:rsidRPr="009A63C4">
        <w:rPr>
          <w:rFonts w:asciiTheme="majorBidi" w:hAnsiTheme="majorBidi" w:cstheme="majorBidi"/>
          <w:b/>
          <w:bCs/>
          <w:i/>
          <w:iCs/>
          <w:sz w:val="24"/>
          <w:szCs w:val="24"/>
        </w:rPr>
        <w:t>BEN-AMMI</w:t>
      </w:r>
      <w:r>
        <w:rPr>
          <w:rFonts w:asciiTheme="majorBidi" w:hAnsiTheme="majorBidi" w:cstheme="majorBidi"/>
          <w:sz w:val="24"/>
          <w:szCs w:val="24"/>
        </w:rPr>
        <w:t xml:space="preserve">, ce qui signifie : </w:t>
      </w:r>
      <w:r>
        <w:rPr>
          <w:rFonts w:asciiTheme="majorBidi" w:hAnsiTheme="majorBidi" w:cstheme="majorBidi"/>
          <w:i/>
          <w:iCs/>
          <w:sz w:val="24"/>
          <w:szCs w:val="24"/>
        </w:rPr>
        <w:t>Fils de mon peuple,</w:t>
      </w:r>
      <w:r>
        <w:rPr>
          <w:rFonts w:asciiTheme="majorBidi" w:hAnsiTheme="majorBidi" w:cstheme="majorBidi"/>
          <w:sz w:val="24"/>
          <w:szCs w:val="24"/>
        </w:rPr>
        <w:t xml:space="preserve"> ou : </w:t>
      </w:r>
      <w:r>
        <w:rPr>
          <w:rFonts w:asciiTheme="majorBidi" w:hAnsiTheme="majorBidi" w:cstheme="majorBidi"/>
          <w:i/>
          <w:iCs/>
          <w:sz w:val="24"/>
          <w:szCs w:val="24"/>
        </w:rPr>
        <w:t>Fils de celui qui a été avec moi</w:t>
      </w:r>
      <w:r>
        <w:rPr>
          <w:rFonts w:asciiTheme="majorBidi" w:hAnsiTheme="majorBidi" w:cstheme="majorBidi"/>
          <w:sz w:val="24"/>
          <w:szCs w:val="24"/>
        </w:rPr>
        <w:t xml:space="preserve">. Le nom est plus discret, puisque le père n’est pas nommé. </w:t>
      </w:r>
      <w:r>
        <w:rPr>
          <w:rFonts w:asciiTheme="majorBidi" w:hAnsiTheme="majorBidi" w:cstheme="majorBidi"/>
          <w:i/>
          <w:iCs/>
          <w:sz w:val="24"/>
          <w:szCs w:val="24"/>
        </w:rPr>
        <w:t>Ben-</w:t>
      </w:r>
      <w:proofErr w:type="spellStart"/>
      <w:r>
        <w:rPr>
          <w:rFonts w:asciiTheme="majorBidi" w:hAnsiTheme="majorBidi" w:cstheme="majorBidi"/>
          <w:i/>
          <w:iCs/>
          <w:sz w:val="24"/>
          <w:szCs w:val="24"/>
        </w:rPr>
        <w:t>Ammi</w:t>
      </w:r>
      <w:proofErr w:type="spellEnd"/>
      <w:r>
        <w:rPr>
          <w:rFonts w:asciiTheme="majorBidi" w:hAnsiTheme="majorBidi" w:cstheme="majorBidi"/>
          <w:i/>
          <w:iCs/>
          <w:sz w:val="24"/>
          <w:szCs w:val="24"/>
        </w:rPr>
        <w:t xml:space="preserve"> </w:t>
      </w:r>
      <w:r>
        <w:rPr>
          <w:rFonts w:asciiTheme="majorBidi" w:hAnsiTheme="majorBidi" w:cstheme="majorBidi"/>
          <w:sz w:val="24"/>
          <w:szCs w:val="24"/>
        </w:rPr>
        <w:t>(Ammon) deviendra le père des Ammonites.</w:t>
      </w:r>
    </w:p>
    <w:p w:rsidR="00A6718C" w:rsidRDefault="00A6718C" w:rsidP="00C4590D">
      <w:pPr>
        <w:pStyle w:val="Paragraphedeliste"/>
        <w:spacing w:after="60"/>
        <w:ind w:left="0"/>
        <w:jc w:val="both"/>
        <w:rPr>
          <w:rFonts w:asciiTheme="majorBidi" w:hAnsiTheme="majorBidi" w:cstheme="majorBidi"/>
          <w:sz w:val="24"/>
          <w:szCs w:val="24"/>
        </w:rPr>
      </w:pPr>
    </w:p>
    <w:p w:rsidR="00A6718C" w:rsidRPr="00C4590D" w:rsidRDefault="00A6718C" w:rsidP="00C4590D">
      <w:pPr>
        <w:pStyle w:val="Paragraphedeliste"/>
        <w:spacing w:after="60"/>
        <w:ind w:left="0"/>
        <w:jc w:val="both"/>
        <w:rPr>
          <w:rFonts w:asciiTheme="majorBidi" w:hAnsiTheme="majorBidi" w:cstheme="majorBidi"/>
          <w:b/>
          <w:bCs/>
          <w:sz w:val="28"/>
          <w:szCs w:val="28"/>
        </w:rPr>
      </w:pPr>
      <w:r w:rsidRPr="00C4590D">
        <w:rPr>
          <w:rFonts w:asciiTheme="majorBidi" w:hAnsiTheme="majorBidi" w:cstheme="majorBidi"/>
          <w:b/>
          <w:bCs/>
          <w:sz w:val="28"/>
          <w:szCs w:val="28"/>
        </w:rPr>
        <w:t xml:space="preserve">9. </w:t>
      </w:r>
      <w:r w:rsidRPr="00C4590D">
        <w:rPr>
          <w:rFonts w:asciiTheme="majorBidi" w:hAnsiTheme="majorBidi" w:cstheme="majorBidi"/>
          <w:b/>
          <w:bCs/>
          <w:sz w:val="28"/>
          <w:szCs w:val="28"/>
        </w:rPr>
        <w:t>Ammonites et Moabites, les peuples condamnés à rester hors d’Israël</w:t>
      </w:r>
    </w:p>
    <w:p w:rsidR="00A6718C" w:rsidRDefault="00A6718C" w:rsidP="00C4590D">
      <w:pPr>
        <w:pStyle w:val="Paragraphedeliste"/>
        <w:spacing w:after="60"/>
        <w:ind w:left="0"/>
        <w:jc w:val="both"/>
        <w:rPr>
          <w:rFonts w:asciiTheme="majorBidi" w:hAnsiTheme="majorBidi" w:cstheme="majorBidi"/>
          <w:sz w:val="24"/>
          <w:szCs w:val="24"/>
        </w:rPr>
      </w:pPr>
      <w:r>
        <w:rPr>
          <w:rFonts w:asciiTheme="majorBidi" w:hAnsiTheme="majorBidi" w:cstheme="majorBidi"/>
          <w:sz w:val="24"/>
          <w:szCs w:val="24"/>
        </w:rPr>
        <w:t xml:space="preserve">Le livre du </w:t>
      </w:r>
      <w:r w:rsidRPr="006351F6">
        <w:rPr>
          <w:rFonts w:asciiTheme="majorBidi" w:hAnsiTheme="majorBidi" w:cstheme="majorBidi"/>
          <w:b/>
          <w:bCs/>
          <w:sz w:val="24"/>
          <w:szCs w:val="24"/>
        </w:rPr>
        <w:t>Deutéronome</w:t>
      </w:r>
      <w:r>
        <w:rPr>
          <w:rFonts w:asciiTheme="majorBidi" w:hAnsiTheme="majorBidi" w:cstheme="majorBidi"/>
          <w:sz w:val="24"/>
          <w:szCs w:val="24"/>
        </w:rPr>
        <w:t xml:space="preserve"> (seconde loi) énonce une condamnation unanime :</w:t>
      </w:r>
    </w:p>
    <w:p w:rsidR="00A6718C" w:rsidRDefault="00A6718C" w:rsidP="00C4590D">
      <w:pPr>
        <w:pStyle w:val="Paragraphedeliste"/>
        <w:spacing w:after="60"/>
        <w:ind w:left="0"/>
        <w:jc w:val="both"/>
        <w:rPr>
          <w:rFonts w:asciiTheme="majorBidi" w:hAnsiTheme="majorBidi" w:cstheme="majorBidi"/>
          <w:b/>
          <w:bCs/>
          <w:i/>
          <w:iCs/>
          <w:sz w:val="24"/>
          <w:szCs w:val="24"/>
        </w:rPr>
      </w:pPr>
      <w:proofErr w:type="spellStart"/>
      <w:r w:rsidRPr="004454D0">
        <w:rPr>
          <w:rFonts w:asciiTheme="majorBidi" w:hAnsiTheme="majorBidi" w:cstheme="majorBidi"/>
          <w:b/>
          <w:bCs/>
          <w:sz w:val="24"/>
          <w:szCs w:val="24"/>
        </w:rPr>
        <w:t>Dt</w:t>
      </w:r>
      <w:proofErr w:type="spellEnd"/>
      <w:r w:rsidRPr="004454D0">
        <w:rPr>
          <w:rFonts w:asciiTheme="majorBidi" w:hAnsiTheme="majorBidi" w:cstheme="majorBidi"/>
          <w:b/>
          <w:bCs/>
          <w:sz w:val="24"/>
          <w:szCs w:val="24"/>
        </w:rPr>
        <w:t xml:space="preserve"> 23,4</w:t>
      </w:r>
      <w:r>
        <w:rPr>
          <w:rFonts w:asciiTheme="majorBidi" w:hAnsiTheme="majorBidi" w:cstheme="majorBidi"/>
          <w:sz w:val="24"/>
          <w:szCs w:val="24"/>
        </w:rPr>
        <w:t xml:space="preserve"> : </w:t>
      </w:r>
      <w:r w:rsidRPr="004454D0">
        <w:rPr>
          <w:rFonts w:asciiTheme="majorBidi" w:hAnsiTheme="majorBidi" w:cstheme="majorBidi"/>
          <w:b/>
          <w:bCs/>
          <w:i/>
          <w:iCs/>
          <w:sz w:val="24"/>
          <w:szCs w:val="24"/>
        </w:rPr>
        <w:t>L’Ammonite et le Moabite n’entreront pas dans l’assemblée du Seigneur ; même leur dixième génération n’entrera pas dans l’assemblée du Seigneur. Il en est ainsi pour toujours</w:t>
      </w:r>
      <w:r>
        <w:rPr>
          <w:rFonts w:asciiTheme="majorBidi" w:hAnsiTheme="majorBidi" w:cstheme="majorBidi"/>
          <w:b/>
          <w:bCs/>
          <w:i/>
          <w:iCs/>
          <w:sz w:val="24"/>
          <w:szCs w:val="24"/>
        </w:rPr>
        <w:t>.</w:t>
      </w:r>
    </w:p>
    <w:p w:rsidR="00A6718C" w:rsidRPr="006351F6" w:rsidRDefault="00A6718C" w:rsidP="00C4590D">
      <w:pPr>
        <w:pStyle w:val="Paragraphedeliste"/>
        <w:spacing w:after="60"/>
        <w:ind w:left="0"/>
        <w:jc w:val="both"/>
        <w:rPr>
          <w:rFonts w:asciiTheme="majorBidi" w:hAnsiTheme="majorBidi" w:cstheme="majorBidi"/>
          <w:i/>
          <w:iCs/>
          <w:sz w:val="24"/>
          <w:szCs w:val="24"/>
        </w:rPr>
      </w:pPr>
      <w:r>
        <w:rPr>
          <w:rFonts w:asciiTheme="majorBidi" w:hAnsiTheme="majorBidi" w:cstheme="majorBidi"/>
          <w:i/>
          <w:iCs/>
          <w:sz w:val="24"/>
          <w:szCs w:val="24"/>
        </w:rPr>
        <w:t>v.7 : Tu ne chercheras jamais leur paix ni leur bien-être, tant que tu vivras.</w:t>
      </w:r>
    </w:p>
    <w:p w:rsidR="00A6718C" w:rsidRDefault="00A6718C" w:rsidP="00C4590D">
      <w:pPr>
        <w:pStyle w:val="Paragraphedeliste"/>
        <w:numPr>
          <w:ilvl w:val="0"/>
          <w:numId w:val="1"/>
        </w:numPr>
        <w:spacing w:after="60"/>
        <w:jc w:val="both"/>
        <w:rPr>
          <w:rFonts w:asciiTheme="majorBidi" w:hAnsiTheme="majorBidi" w:cstheme="majorBidi"/>
          <w:sz w:val="24"/>
          <w:szCs w:val="24"/>
        </w:rPr>
      </w:pPr>
      <w:r w:rsidRPr="00562D33">
        <w:rPr>
          <w:rFonts w:asciiTheme="majorBidi" w:hAnsiTheme="majorBidi" w:cstheme="majorBidi"/>
          <w:sz w:val="24"/>
          <w:szCs w:val="24"/>
          <w:u w:val="single"/>
        </w:rPr>
        <w:t>D’après le Deutéronome</w:t>
      </w:r>
      <w:r>
        <w:rPr>
          <w:rFonts w:asciiTheme="majorBidi" w:hAnsiTheme="majorBidi" w:cstheme="majorBidi"/>
          <w:sz w:val="24"/>
          <w:szCs w:val="24"/>
          <w:u w:val="single"/>
        </w:rPr>
        <w:t xml:space="preserve"> (23,5)</w:t>
      </w:r>
      <w:r>
        <w:rPr>
          <w:rFonts w:asciiTheme="majorBidi" w:hAnsiTheme="majorBidi" w:cstheme="majorBidi"/>
          <w:sz w:val="24"/>
          <w:szCs w:val="24"/>
        </w:rPr>
        <w:t>, il y aurait deux raisons :</w:t>
      </w:r>
    </w:p>
    <w:p w:rsidR="00A6718C" w:rsidRDefault="00A6718C" w:rsidP="00C4590D">
      <w:pPr>
        <w:pStyle w:val="Paragraphedeliste"/>
        <w:numPr>
          <w:ilvl w:val="1"/>
          <w:numId w:val="1"/>
        </w:numPr>
        <w:spacing w:after="60"/>
        <w:jc w:val="both"/>
        <w:rPr>
          <w:rFonts w:asciiTheme="majorBidi" w:hAnsiTheme="majorBidi" w:cstheme="majorBidi"/>
          <w:sz w:val="24"/>
          <w:szCs w:val="24"/>
        </w:rPr>
      </w:pPr>
      <w:r>
        <w:rPr>
          <w:rFonts w:asciiTheme="majorBidi" w:hAnsiTheme="majorBidi" w:cstheme="majorBidi"/>
          <w:sz w:val="24"/>
          <w:szCs w:val="24"/>
        </w:rPr>
        <w:t>Les Ammonites n’ont pas assisté le peuple d’Israël lorsque celui-ci a traversé les territoires de Transjordanie pour se rendre en Canaan, après la sortie d’Egypte, lui refusant le pain et l’eau ;</w:t>
      </w:r>
    </w:p>
    <w:p w:rsidR="00A6718C" w:rsidRDefault="00A6718C" w:rsidP="00C4590D">
      <w:pPr>
        <w:pStyle w:val="Paragraphedeliste"/>
        <w:numPr>
          <w:ilvl w:val="1"/>
          <w:numId w:val="1"/>
        </w:numPr>
        <w:spacing w:after="60"/>
        <w:jc w:val="both"/>
        <w:rPr>
          <w:rFonts w:asciiTheme="majorBidi" w:hAnsiTheme="majorBidi" w:cstheme="majorBidi"/>
          <w:sz w:val="24"/>
          <w:szCs w:val="24"/>
        </w:rPr>
      </w:pPr>
      <w:r>
        <w:rPr>
          <w:rFonts w:asciiTheme="majorBidi" w:hAnsiTheme="majorBidi" w:cstheme="majorBidi"/>
          <w:sz w:val="24"/>
          <w:szCs w:val="24"/>
        </w:rPr>
        <w:t xml:space="preserve">Les Moabites ont envoyé le prophète </w:t>
      </w:r>
      <w:proofErr w:type="spellStart"/>
      <w:r>
        <w:rPr>
          <w:rFonts w:asciiTheme="majorBidi" w:hAnsiTheme="majorBidi" w:cstheme="majorBidi"/>
          <w:sz w:val="24"/>
          <w:szCs w:val="24"/>
        </w:rPr>
        <w:t>Balaam</w:t>
      </w:r>
      <w:proofErr w:type="spellEnd"/>
      <w:r>
        <w:rPr>
          <w:rFonts w:asciiTheme="majorBidi" w:hAnsiTheme="majorBidi" w:cstheme="majorBidi"/>
          <w:sz w:val="24"/>
          <w:szCs w:val="24"/>
        </w:rPr>
        <w:t xml:space="preserve"> pour maudire Israël (voir aussi Nb 22-24)</w:t>
      </w:r>
    </w:p>
    <w:p w:rsidR="00A6718C" w:rsidRDefault="00A6718C" w:rsidP="00C4590D">
      <w:pPr>
        <w:pStyle w:val="Paragraphedeliste"/>
        <w:numPr>
          <w:ilvl w:val="0"/>
          <w:numId w:val="1"/>
        </w:numPr>
        <w:spacing w:after="60"/>
        <w:jc w:val="both"/>
        <w:rPr>
          <w:rFonts w:asciiTheme="majorBidi" w:hAnsiTheme="majorBidi" w:cstheme="majorBidi"/>
          <w:sz w:val="24"/>
          <w:szCs w:val="24"/>
        </w:rPr>
      </w:pPr>
      <w:r w:rsidRPr="00562D33">
        <w:rPr>
          <w:rFonts w:asciiTheme="majorBidi" w:hAnsiTheme="majorBidi" w:cstheme="majorBidi"/>
          <w:sz w:val="24"/>
          <w:szCs w:val="24"/>
          <w:u w:val="single"/>
        </w:rPr>
        <w:t>D’après le livre des Nombres</w:t>
      </w:r>
      <w:r>
        <w:rPr>
          <w:rFonts w:asciiTheme="majorBidi" w:hAnsiTheme="majorBidi" w:cstheme="majorBidi"/>
          <w:sz w:val="24"/>
          <w:szCs w:val="24"/>
        </w:rPr>
        <w:t xml:space="preserve">, les filles de Moab ont tenté de séduire les Juifs pour les détourner de leur foi (Nb 25,2) : </w:t>
      </w:r>
      <w:r w:rsidRPr="00562D33">
        <w:rPr>
          <w:rFonts w:asciiTheme="majorBidi" w:hAnsiTheme="majorBidi" w:cstheme="majorBidi"/>
          <w:b/>
          <w:bCs/>
          <w:sz w:val="24"/>
          <w:szCs w:val="24"/>
        </w:rPr>
        <w:t>la tentation de l’idolâtrie est très souv</w:t>
      </w:r>
      <w:r>
        <w:rPr>
          <w:rFonts w:asciiTheme="majorBidi" w:hAnsiTheme="majorBidi" w:cstheme="majorBidi"/>
          <w:b/>
          <w:bCs/>
          <w:sz w:val="24"/>
          <w:szCs w:val="24"/>
        </w:rPr>
        <w:t>ent associée à la séduction,</w:t>
      </w:r>
      <w:r w:rsidRPr="00562D33">
        <w:rPr>
          <w:rFonts w:asciiTheme="majorBidi" w:hAnsiTheme="majorBidi" w:cstheme="majorBidi"/>
          <w:b/>
          <w:bCs/>
          <w:sz w:val="24"/>
          <w:szCs w:val="24"/>
        </w:rPr>
        <w:t xml:space="preserve"> la prostitution</w:t>
      </w:r>
      <w:r>
        <w:rPr>
          <w:rFonts w:asciiTheme="majorBidi" w:hAnsiTheme="majorBidi" w:cstheme="majorBidi"/>
          <w:b/>
          <w:bCs/>
          <w:sz w:val="24"/>
          <w:szCs w:val="24"/>
        </w:rPr>
        <w:t>, l’adultère</w:t>
      </w:r>
      <w:r>
        <w:rPr>
          <w:rFonts w:asciiTheme="majorBidi" w:hAnsiTheme="majorBidi" w:cstheme="majorBidi"/>
          <w:sz w:val="24"/>
          <w:szCs w:val="24"/>
        </w:rPr>
        <w:t xml:space="preserve"> (voir Ex 34,15 ; </w:t>
      </w:r>
      <w:proofErr w:type="spellStart"/>
      <w:r>
        <w:rPr>
          <w:rFonts w:asciiTheme="majorBidi" w:hAnsiTheme="majorBidi" w:cstheme="majorBidi"/>
          <w:sz w:val="24"/>
          <w:szCs w:val="24"/>
        </w:rPr>
        <w:t>Lv</w:t>
      </w:r>
      <w:proofErr w:type="spellEnd"/>
      <w:r>
        <w:rPr>
          <w:rFonts w:asciiTheme="majorBidi" w:hAnsiTheme="majorBidi" w:cstheme="majorBidi"/>
          <w:sz w:val="24"/>
          <w:szCs w:val="24"/>
        </w:rPr>
        <w:t xml:space="preserve"> </w:t>
      </w:r>
      <w:r w:rsidR="00104B0E">
        <w:rPr>
          <w:rFonts w:asciiTheme="majorBidi" w:hAnsiTheme="majorBidi" w:cstheme="majorBidi"/>
          <w:sz w:val="24"/>
          <w:szCs w:val="24"/>
        </w:rPr>
        <w:t>17</w:t>
      </w:r>
      <w:r>
        <w:rPr>
          <w:rFonts w:asciiTheme="majorBidi" w:hAnsiTheme="majorBidi" w:cstheme="majorBidi"/>
          <w:sz w:val="24"/>
          <w:szCs w:val="24"/>
        </w:rPr>
        <w:t>,7 et</w:t>
      </w:r>
      <w:r w:rsidR="00104B0E">
        <w:rPr>
          <w:rFonts w:asciiTheme="majorBidi" w:hAnsiTheme="majorBidi" w:cstheme="majorBidi"/>
          <w:sz w:val="24"/>
          <w:szCs w:val="24"/>
        </w:rPr>
        <w:t xml:space="preserve"> </w:t>
      </w:r>
      <w:r>
        <w:rPr>
          <w:rFonts w:asciiTheme="majorBidi" w:hAnsiTheme="majorBidi" w:cstheme="majorBidi"/>
          <w:sz w:val="24"/>
          <w:szCs w:val="24"/>
        </w:rPr>
        <w:t>20,4-5 ; Os 1,2).</w:t>
      </w:r>
    </w:p>
    <w:p w:rsidR="00A6718C" w:rsidRDefault="00A6718C" w:rsidP="00C4590D">
      <w:pPr>
        <w:pStyle w:val="Paragraphedeliste"/>
        <w:numPr>
          <w:ilvl w:val="0"/>
          <w:numId w:val="1"/>
        </w:numPr>
        <w:spacing w:after="60"/>
        <w:jc w:val="both"/>
        <w:rPr>
          <w:rFonts w:asciiTheme="majorBidi" w:hAnsiTheme="majorBidi" w:cstheme="majorBidi"/>
          <w:sz w:val="24"/>
          <w:szCs w:val="24"/>
        </w:rPr>
      </w:pPr>
      <w:r w:rsidRPr="004B31F1">
        <w:rPr>
          <w:rFonts w:asciiTheme="majorBidi" w:hAnsiTheme="majorBidi" w:cstheme="majorBidi"/>
          <w:sz w:val="24"/>
          <w:szCs w:val="24"/>
          <w:u w:val="single"/>
        </w:rPr>
        <w:t>D’après le Talmud</w:t>
      </w:r>
      <w:r>
        <w:rPr>
          <w:rFonts w:asciiTheme="majorBidi" w:hAnsiTheme="majorBidi" w:cstheme="majorBidi"/>
          <w:sz w:val="24"/>
          <w:szCs w:val="24"/>
        </w:rPr>
        <w:t xml:space="preserve">, le crime d’inceste pèse sur Lot, non sur ses filles. </w:t>
      </w:r>
    </w:p>
    <w:p w:rsidR="00A6718C" w:rsidRDefault="00A6718C" w:rsidP="00C4590D">
      <w:pPr>
        <w:pStyle w:val="Paragraphedeliste"/>
        <w:numPr>
          <w:ilvl w:val="0"/>
          <w:numId w:val="1"/>
        </w:numPr>
        <w:spacing w:after="60"/>
        <w:jc w:val="both"/>
        <w:rPr>
          <w:rFonts w:asciiTheme="majorBidi" w:hAnsiTheme="majorBidi" w:cstheme="majorBidi"/>
          <w:sz w:val="24"/>
          <w:szCs w:val="24"/>
        </w:rPr>
      </w:pPr>
      <w:r>
        <w:rPr>
          <w:rFonts w:asciiTheme="majorBidi" w:hAnsiTheme="majorBidi" w:cstheme="majorBidi"/>
          <w:sz w:val="24"/>
          <w:szCs w:val="24"/>
        </w:rPr>
        <w:t xml:space="preserve">Plus simplement, leur origine incestueuse jette le discrédit sur deux grands ennemis d’Israël. </w:t>
      </w:r>
    </w:p>
    <w:p w:rsidR="00A6718C" w:rsidRDefault="00A6718C" w:rsidP="00C4590D">
      <w:pPr>
        <w:pStyle w:val="Paragraphedeliste"/>
        <w:spacing w:after="60"/>
        <w:ind w:left="0"/>
        <w:jc w:val="both"/>
        <w:rPr>
          <w:rFonts w:asciiTheme="majorBidi" w:hAnsiTheme="majorBidi" w:cstheme="majorBidi"/>
          <w:sz w:val="24"/>
          <w:szCs w:val="24"/>
        </w:rPr>
      </w:pPr>
      <w:r>
        <w:rPr>
          <w:rFonts w:asciiTheme="majorBidi" w:hAnsiTheme="majorBidi" w:cstheme="majorBidi"/>
          <w:sz w:val="24"/>
          <w:szCs w:val="24"/>
        </w:rPr>
        <w:t xml:space="preserve">Les livres d’Esdras et de Néhémie (période </w:t>
      </w:r>
      <w:proofErr w:type="spellStart"/>
      <w:r>
        <w:rPr>
          <w:rFonts w:asciiTheme="majorBidi" w:hAnsiTheme="majorBidi" w:cstheme="majorBidi"/>
          <w:sz w:val="24"/>
          <w:szCs w:val="24"/>
        </w:rPr>
        <w:t>post-exilique</w:t>
      </w:r>
      <w:proofErr w:type="spellEnd"/>
      <w:r>
        <w:rPr>
          <w:rFonts w:asciiTheme="majorBidi" w:hAnsiTheme="majorBidi" w:cstheme="majorBidi"/>
          <w:sz w:val="24"/>
          <w:szCs w:val="24"/>
        </w:rPr>
        <w:t>) condamnent tous les mariages avec des étrangères et encouragent l’épuration d’Israël (</w:t>
      </w:r>
      <w:proofErr w:type="spellStart"/>
      <w:r>
        <w:rPr>
          <w:rFonts w:asciiTheme="majorBidi" w:hAnsiTheme="majorBidi" w:cstheme="majorBidi"/>
          <w:sz w:val="24"/>
          <w:szCs w:val="24"/>
        </w:rPr>
        <w:t>Esd</w:t>
      </w:r>
      <w:proofErr w:type="spellEnd"/>
      <w:r>
        <w:rPr>
          <w:rFonts w:asciiTheme="majorBidi" w:hAnsiTheme="majorBidi" w:cstheme="majorBidi"/>
          <w:sz w:val="24"/>
          <w:szCs w:val="24"/>
        </w:rPr>
        <w:t xml:space="preserve"> 9,1 et 10,17 ; Ne 13,3.30).</w:t>
      </w:r>
    </w:p>
    <w:p w:rsidR="00A6718C" w:rsidRDefault="00A6718C" w:rsidP="00C4590D">
      <w:pPr>
        <w:pStyle w:val="Paragraphedeliste"/>
        <w:spacing w:after="60"/>
        <w:ind w:left="0"/>
        <w:jc w:val="both"/>
        <w:rPr>
          <w:rFonts w:asciiTheme="majorBidi" w:hAnsiTheme="majorBidi" w:cstheme="majorBidi"/>
          <w:sz w:val="24"/>
          <w:szCs w:val="24"/>
        </w:rPr>
      </w:pPr>
    </w:p>
    <w:p w:rsidR="00A6718C" w:rsidRPr="00C4590D" w:rsidRDefault="00A6718C" w:rsidP="00C4590D">
      <w:pPr>
        <w:pStyle w:val="Paragraphedeliste"/>
        <w:spacing w:after="60"/>
        <w:ind w:left="0"/>
        <w:jc w:val="both"/>
        <w:rPr>
          <w:rFonts w:asciiTheme="majorBidi" w:hAnsiTheme="majorBidi" w:cstheme="majorBidi"/>
          <w:b/>
          <w:bCs/>
          <w:sz w:val="28"/>
          <w:szCs w:val="28"/>
        </w:rPr>
      </w:pPr>
      <w:r w:rsidRPr="00C4590D">
        <w:rPr>
          <w:rFonts w:asciiTheme="majorBidi" w:hAnsiTheme="majorBidi" w:cstheme="majorBidi"/>
          <w:b/>
          <w:bCs/>
          <w:sz w:val="28"/>
          <w:szCs w:val="28"/>
        </w:rPr>
        <w:t xml:space="preserve">10. </w:t>
      </w:r>
      <w:r w:rsidRPr="00C4590D">
        <w:rPr>
          <w:rFonts w:asciiTheme="majorBidi" w:hAnsiTheme="majorBidi" w:cstheme="majorBidi"/>
          <w:b/>
          <w:bCs/>
          <w:sz w:val="28"/>
          <w:szCs w:val="28"/>
        </w:rPr>
        <w:t xml:space="preserve">D’illustres descendantes : Ruth et </w:t>
      </w:r>
      <w:proofErr w:type="spellStart"/>
      <w:r w:rsidRPr="00C4590D">
        <w:rPr>
          <w:rFonts w:asciiTheme="majorBidi" w:hAnsiTheme="majorBidi" w:cstheme="majorBidi"/>
          <w:b/>
          <w:bCs/>
          <w:sz w:val="28"/>
          <w:szCs w:val="28"/>
        </w:rPr>
        <w:t>Naama</w:t>
      </w:r>
      <w:proofErr w:type="spellEnd"/>
    </w:p>
    <w:p w:rsidR="00A6718C" w:rsidRDefault="00A6718C" w:rsidP="00C4590D">
      <w:pPr>
        <w:pStyle w:val="Paragraphedeliste"/>
        <w:spacing w:after="60"/>
        <w:ind w:left="0"/>
        <w:jc w:val="both"/>
        <w:rPr>
          <w:rFonts w:asciiTheme="majorBidi" w:hAnsiTheme="majorBidi" w:cstheme="majorBidi"/>
          <w:sz w:val="24"/>
          <w:szCs w:val="24"/>
        </w:rPr>
      </w:pPr>
      <w:r>
        <w:rPr>
          <w:rFonts w:asciiTheme="majorBidi" w:hAnsiTheme="majorBidi" w:cstheme="majorBidi"/>
          <w:sz w:val="24"/>
          <w:szCs w:val="24"/>
        </w:rPr>
        <w:t xml:space="preserve">Deux mères en Israël sont issues de ces peuples : Ruth la Moabite, bisaïeule de David, et </w:t>
      </w:r>
      <w:proofErr w:type="spellStart"/>
      <w:r>
        <w:rPr>
          <w:rFonts w:asciiTheme="majorBidi" w:hAnsiTheme="majorBidi" w:cstheme="majorBidi"/>
          <w:sz w:val="24"/>
          <w:szCs w:val="24"/>
        </w:rPr>
        <w:t>Naama</w:t>
      </w:r>
      <w:proofErr w:type="spellEnd"/>
      <w:r>
        <w:rPr>
          <w:rFonts w:asciiTheme="majorBidi" w:hAnsiTheme="majorBidi" w:cstheme="majorBidi"/>
          <w:sz w:val="24"/>
          <w:szCs w:val="24"/>
        </w:rPr>
        <w:t xml:space="preserve"> l’Ammonite, femme de Salomon et mère de Roboam</w:t>
      </w:r>
      <w:bookmarkStart w:id="0" w:name="_GoBack"/>
      <w:bookmarkEnd w:id="0"/>
      <w:r>
        <w:rPr>
          <w:rFonts w:asciiTheme="majorBidi" w:hAnsiTheme="majorBidi" w:cstheme="majorBidi"/>
          <w:sz w:val="24"/>
          <w:szCs w:val="24"/>
        </w:rPr>
        <w:t>, un roi qui fait partie de la généalogie de Jésus (1R 11,1-8). Dans la tradition juive, l’une et l’autre figurent parmi les ancêtres du Messie.</w:t>
      </w:r>
      <w:r>
        <w:rPr>
          <w:rFonts w:asciiTheme="majorBidi" w:hAnsiTheme="majorBidi" w:cstheme="majorBidi"/>
          <w:sz w:val="24"/>
          <w:szCs w:val="24"/>
        </w:rPr>
        <w:t xml:space="preserve"> </w:t>
      </w:r>
      <w:proofErr w:type="spellStart"/>
      <w:r>
        <w:rPr>
          <w:rFonts w:asciiTheme="majorBidi" w:hAnsiTheme="majorBidi" w:cstheme="majorBidi"/>
          <w:sz w:val="24"/>
          <w:szCs w:val="24"/>
        </w:rPr>
        <w:t>Naama</w:t>
      </w:r>
      <w:proofErr w:type="spellEnd"/>
      <w:r>
        <w:rPr>
          <w:rFonts w:asciiTheme="majorBidi" w:hAnsiTheme="majorBidi" w:cstheme="majorBidi"/>
          <w:sz w:val="24"/>
          <w:szCs w:val="24"/>
        </w:rPr>
        <w:t xml:space="preserve"> n’est pas citée par l’évangéliste Matthieu, dans sa généalogie de Jésus, mais son fils Roboam, fils de Salomon, y figure.</w:t>
      </w:r>
      <w:r w:rsidRPr="004B31F1">
        <w:rPr>
          <w:rStyle w:val="Appelnotedebasdep"/>
          <w:rFonts w:asciiTheme="majorBidi" w:hAnsiTheme="majorBidi" w:cstheme="majorBidi"/>
          <w:sz w:val="24"/>
          <w:szCs w:val="24"/>
        </w:rPr>
        <w:t xml:space="preserve"> </w:t>
      </w:r>
      <w:r>
        <w:rPr>
          <w:rStyle w:val="Appelnotedebasdep"/>
          <w:rFonts w:asciiTheme="majorBidi" w:hAnsiTheme="majorBidi" w:cstheme="majorBidi"/>
          <w:sz w:val="24"/>
          <w:szCs w:val="24"/>
        </w:rPr>
        <w:footnoteReference w:id="6"/>
      </w:r>
    </w:p>
    <w:p w:rsidR="0099736E" w:rsidRDefault="0099736E" w:rsidP="00C4590D">
      <w:pPr>
        <w:spacing w:after="60"/>
      </w:pPr>
    </w:p>
    <w:sectPr w:rsidR="0099736E" w:rsidSect="00C4590D">
      <w:footerReference w:type="default" r:id="rId8"/>
      <w:pgSz w:w="11906" w:h="16838"/>
      <w:pgMar w:top="1134" w:right="1274" w:bottom="993" w:left="1417" w:header="708"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159" w:rsidRDefault="00304159" w:rsidP="00A6718C">
      <w:pPr>
        <w:spacing w:after="0" w:line="240" w:lineRule="auto"/>
      </w:pPr>
      <w:r>
        <w:separator/>
      </w:r>
    </w:p>
  </w:endnote>
  <w:endnote w:type="continuationSeparator" w:id="0">
    <w:p w:rsidR="00304159" w:rsidRDefault="00304159" w:rsidP="00A6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0D" w:rsidRDefault="00C4590D" w:rsidP="00C4590D">
    <w:pPr>
      <w:pStyle w:val="Pieddepage"/>
      <w:tabs>
        <w:tab w:val="clear" w:pos="9072"/>
        <w:tab w:val="right" w:pos="9356"/>
      </w:tabs>
      <w:rPr>
        <w:i/>
        <w:iCs/>
        <w:sz w:val="18"/>
        <w:szCs w:val="18"/>
      </w:rPr>
    </w:pPr>
  </w:p>
  <w:p w:rsidR="00C4590D" w:rsidRDefault="00C4590D" w:rsidP="00C4590D">
    <w:pPr>
      <w:pStyle w:val="Pieddepage"/>
      <w:tabs>
        <w:tab w:val="clear" w:pos="9072"/>
        <w:tab w:val="right" w:pos="9356"/>
      </w:tabs>
    </w:pPr>
    <w:r w:rsidRPr="0077548B">
      <w:rPr>
        <w:i/>
        <w:iCs/>
        <w:sz w:val="18"/>
        <w:szCs w:val="18"/>
      </w:rPr>
      <w:t>Geneviève Jacob</w:t>
    </w:r>
    <w:r w:rsidRPr="0077548B">
      <w:rPr>
        <w:i/>
        <w:iCs/>
      </w:rPr>
      <w:ptab w:relativeTo="margin" w:alignment="center" w:leader="none"/>
    </w:r>
    <w:r w:rsidRPr="0077548B">
      <w:rPr>
        <w:i/>
        <w:iCs/>
      </w:rPr>
      <w:t>Groupe Bib</w:t>
    </w:r>
    <w:r w:rsidR="005A6BBA">
      <w:rPr>
        <w:i/>
        <w:iCs/>
      </w:rPr>
      <w:t>le – Paroisse St Louis – juin</w:t>
    </w:r>
    <w:r w:rsidRPr="0077548B">
      <w:rPr>
        <w:i/>
        <w:iCs/>
      </w:rPr>
      <w:t xml:space="preserve"> 2021</w:t>
    </w:r>
    <w:r>
      <w:rPr>
        <w:i/>
        <w:iCs/>
      </w:rPr>
      <w:tab/>
      <w:t xml:space="preserve"> </w:t>
    </w:r>
    <w:r w:rsidRPr="00CC6433">
      <w:fldChar w:fldCharType="begin"/>
    </w:r>
    <w:r w:rsidRPr="00CC6433">
      <w:instrText>PAGE   \* MERGEFORMAT</w:instrText>
    </w:r>
    <w:r w:rsidRPr="00CC6433">
      <w:fldChar w:fldCharType="separate"/>
    </w:r>
    <w:r w:rsidR="002926E7">
      <w:rPr>
        <w:noProof/>
      </w:rPr>
      <w:t>4</w:t>
    </w:r>
    <w:r w:rsidRPr="00CC6433">
      <w:fldChar w:fldCharType="end"/>
    </w:r>
  </w:p>
  <w:p w:rsidR="00C4590D" w:rsidRDefault="00C4590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159" w:rsidRDefault="00304159" w:rsidP="00A6718C">
      <w:pPr>
        <w:spacing w:after="0" w:line="240" w:lineRule="auto"/>
      </w:pPr>
      <w:r>
        <w:separator/>
      </w:r>
    </w:p>
  </w:footnote>
  <w:footnote w:type="continuationSeparator" w:id="0">
    <w:p w:rsidR="00304159" w:rsidRDefault="00304159" w:rsidP="00A6718C">
      <w:pPr>
        <w:spacing w:after="0" w:line="240" w:lineRule="auto"/>
      </w:pPr>
      <w:r>
        <w:continuationSeparator/>
      </w:r>
    </w:p>
  </w:footnote>
  <w:footnote w:id="1">
    <w:p w:rsidR="00A6718C" w:rsidRDefault="00A6718C" w:rsidP="00A6718C">
      <w:pPr>
        <w:pStyle w:val="Notedebasdepage"/>
      </w:pPr>
      <w:r>
        <w:rPr>
          <w:rStyle w:val="Appelnotedebasdep"/>
        </w:rPr>
        <w:footnoteRef/>
      </w:r>
      <w:r>
        <w:t xml:space="preserve"> Elie Munk – La Voix de la Thora – La Genèse, p.252 : commentaire de </w:t>
      </w:r>
      <w:proofErr w:type="spellStart"/>
      <w:r>
        <w:t>Gn</w:t>
      </w:r>
      <w:proofErr w:type="spellEnd"/>
      <w:r>
        <w:t xml:space="preserve"> 19,8</w:t>
      </w:r>
    </w:p>
  </w:footnote>
  <w:footnote w:id="2">
    <w:p w:rsidR="00A6718C" w:rsidRDefault="00A6718C" w:rsidP="00A6718C">
      <w:pPr>
        <w:pStyle w:val="Notedebasdepage"/>
      </w:pPr>
      <w:r>
        <w:rPr>
          <w:rStyle w:val="Appelnotedebasdep"/>
        </w:rPr>
        <w:footnoteRef/>
      </w:r>
      <w:r>
        <w:t xml:space="preserve"> Pauline </w:t>
      </w:r>
      <w:proofErr w:type="spellStart"/>
      <w:r>
        <w:t>Bebe</w:t>
      </w:r>
      <w:proofErr w:type="spellEnd"/>
      <w:r>
        <w:t xml:space="preserve"> – </w:t>
      </w:r>
      <w:proofErr w:type="spellStart"/>
      <w:r>
        <w:t>Isha</w:t>
      </w:r>
      <w:proofErr w:type="spellEnd"/>
      <w:r>
        <w:t>, dictionnaire des femmes et du judaïsme, Calmann-Lévy 2001, p.139</w:t>
      </w:r>
    </w:p>
  </w:footnote>
  <w:footnote w:id="3">
    <w:p w:rsidR="00A6718C" w:rsidRDefault="00A6718C" w:rsidP="00A6718C">
      <w:pPr>
        <w:pStyle w:val="Notedebasdepage"/>
      </w:pPr>
      <w:r>
        <w:rPr>
          <w:rStyle w:val="Appelnotedebasdep"/>
        </w:rPr>
        <w:footnoteRef/>
      </w:r>
      <w:r>
        <w:t xml:space="preserve"> Traduction Elie Munk – La Voix de la Thora – Le Lévitique</w:t>
      </w:r>
    </w:p>
  </w:footnote>
  <w:footnote w:id="4">
    <w:p w:rsidR="00A6718C" w:rsidRDefault="00A6718C" w:rsidP="00A6718C">
      <w:pPr>
        <w:pStyle w:val="Notedebasdepage"/>
      </w:pPr>
      <w:r>
        <w:rPr>
          <w:rStyle w:val="Appelnotedebasdep"/>
        </w:rPr>
        <w:footnoteRef/>
      </w:r>
      <w:r>
        <w:t xml:space="preserve"> Pour plus de détail sur la législation d’Israël concernant les unions illicites, voir Annexe 1</w:t>
      </w:r>
    </w:p>
  </w:footnote>
  <w:footnote w:id="5">
    <w:p w:rsidR="00A6718C" w:rsidRDefault="00A6718C" w:rsidP="00A6718C">
      <w:pPr>
        <w:pStyle w:val="Notedebasdepage"/>
      </w:pPr>
      <w:r>
        <w:rPr>
          <w:rStyle w:val="Appelnotedebasdep"/>
        </w:rPr>
        <w:footnoteRef/>
      </w:r>
      <w:r>
        <w:t xml:space="preserve"> Pauline </w:t>
      </w:r>
      <w:proofErr w:type="spellStart"/>
      <w:r>
        <w:t>Bebe</w:t>
      </w:r>
      <w:proofErr w:type="spellEnd"/>
      <w:r>
        <w:t xml:space="preserve"> – </w:t>
      </w:r>
      <w:proofErr w:type="spellStart"/>
      <w:r>
        <w:t>Isha</w:t>
      </w:r>
      <w:proofErr w:type="spellEnd"/>
      <w:r>
        <w:t xml:space="preserve"> – op.cit., p. 140 </w:t>
      </w:r>
    </w:p>
  </w:footnote>
  <w:footnote w:id="6">
    <w:p w:rsidR="00A6718C" w:rsidRDefault="00A6718C" w:rsidP="00A6718C">
      <w:pPr>
        <w:pStyle w:val="Notedebasdepage"/>
      </w:pPr>
      <w:r>
        <w:rPr>
          <w:rStyle w:val="Appelnotedebasdep"/>
        </w:rPr>
        <w:footnoteRef/>
      </w:r>
      <w:r>
        <w:t xml:space="preserve"> Pour plus de détail sur les Moabites et les Ammonites, voir Annexe 2</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450A7"/>
    <w:multiLevelType w:val="hybridMultilevel"/>
    <w:tmpl w:val="603C6DDE"/>
    <w:lvl w:ilvl="0" w:tplc="BA34FA6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43124272"/>
    <w:multiLevelType w:val="hybridMultilevel"/>
    <w:tmpl w:val="CD049E70"/>
    <w:lvl w:ilvl="0" w:tplc="BA34FA6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6CF83ABD"/>
    <w:multiLevelType w:val="multilevel"/>
    <w:tmpl w:val="B80C5378"/>
    <w:lvl w:ilvl="0">
      <w:start w:val="1"/>
      <w:numFmt w:val="bullet"/>
      <w:lvlText w:val=""/>
      <w:lvlJc w:val="left"/>
      <w:pPr>
        <w:ind w:left="360" w:hanging="360"/>
      </w:pPr>
      <w:rPr>
        <w:rFonts w:ascii="Symbol" w:hAnsi="Symbol" w:cs="Times New Roman" w:hint="default"/>
      </w:rPr>
    </w:lvl>
    <w:lvl w:ilvl="1">
      <w:start w:val="1"/>
      <w:numFmt w:val="bullet"/>
      <w:lvlText w:val=""/>
      <w:lvlJc w:val="left"/>
      <w:pPr>
        <w:ind w:left="720" w:hanging="360"/>
      </w:pPr>
      <w:rPr>
        <w:rFonts w:ascii="Symbol" w:hAnsi="Symbol" w:cs="Times New Roman" w:hint="default"/>
      </w:rPr>
    </w:lvl>
    <w:lvl w:ilvl="2">
      <w:start w:val="1"/>
      <w:numFmt w:val="bullet"/>
      <w:lvlText w:val=""/>
      <w:lvlJc w:val="left"/>
      <w:pPr>
        <w:ind w:left="1080" w:hanging="360"/>
      </w:pPr>
      <w:rPr>
        <w:rFonts w:ascii="Wingdings" w:hAnsi="Wingdings" w:cs="Times New Roman" w:hint="default"/>
      </w:rPr>
    </w:lvl>
    <w:lvl w:ilvl="3">
      <w:start w:val="1"/>
      <w:numFmt w:val="bullet"/>
      <w:lvlText w:val=""/>
      <w:lvlJc w:val="left"/>
      <w:pPr>
        <w:ind w:left="1440" w:hanging="360"/>
      </w:pPr>
      <w:rPr>
        <w:rFonts w:ascii="Wingdings" w:hAnsi="Wingdings"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8C"/>
    <w:rsid w:val="00104B0E"/>
    <w:rsid w:val="002926E7"/>
    <w:rsid w:val="00304159"/>
    <w:rsid w:val="005A6BBA"/>
    <w:rsid w:val="0099736E"/>
    <w:rsid w:val="00A6718C"/>
    <w:rsid w:val="00C4590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718C"/>
    <w:pPr>
      <w:ind w:left="720"/>
      <w:contextualSpacing/>
    </w:pPr>
  </w:style>
  <w:style w:type="paragraph" w:styleId="Notedebasdepage">
    <w:name w:val="footnote text"/>
    <w:basedOn w:val="Normal"/>
    <w:link w:val="NotedebasdepageCar"/>
    <w:uiPriority w:val="99"/>
    <w:semiHidden/>
    <w:unhideWhenUsed/>
    <w:rsid w:val="00A671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718C"/>
    <w:rPr>
      <w:sz w:val="20"/>
      <w:szCs w:val="20"/>
    </w:rPr>
  </w:style>
  <w:style w:type="character" w:styleId="Appelnotedebasdep">
    <w:name w:val="footnote reference"/>
    <w:basedOn w:val="Policepardfaut"/>
    <w:uiPriority w:val="99"/>
    <w:semiHidden/>
    <w:unhideWhenUsed/>
    <w:rsid w:val="00A6718C"/>
    <w:rPr>
      <w:vertAlign w:val="superscript"/>
    </w:rPr>
  </w:style>
  <w:style w:type="paragraph" w:styleId="En-tte">
    <w:name w:val="header"/>
    <w:basedOn w:val="Normal"/>
    <w:link w:val="En-tteCar"/>
    <w:uiPriority w:val="99"/>
    <w:unhideWhenUsed/>
    <w:rsid w:val="00A6718C"/>
    <w:pPr>
      <w:tabs>
        <w:tab w:val="center" w:pos="4536"/>
        <w:tab w:val="right" w:pos="9072"/>
      </w:tabs>
      <w:spacing w:after="0" w:line="240" w:lineRule="auto"/>
    </w:pPr>
  </w:style>
  <w:style w:type="character" w:customStyle="1" w:styleId="En-tteCar">
    <w:name w:val="En-tête Car"/>
    <w:basedOn w:val="Policepardfaut"/>
    <w:link w:val="En-tte"/>
    <w:uiPriority w:val="99"/>
    <w:rsid w:val="00A6718C"/>
  </w:style>
  <w:style w:type="paragraph" w:styleId="Pieddepage">
    <w:name w:val="footer"/>
    <w:basedOn w:val="Normal"/>
    <w:link w:val="PieddepageCar"/>
    <w:uiPriority w:val="99"/>
    <w:unhideWhenUsed/>
    <w:rsid w:val="00A671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7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718C"/>
    <w:pPr>
      <w:ind w:left="720"/>
      <w:contextualSpacing/>
    </w:pPr>
  </w:style>
  <w:style w:type="paragraph" w:styleId="Notedebasdepage">
    <w:name w:val="footnote text"/>
    <w:basedOn w:val="Normal"/>
    <w:link w:val="NotedebasdepageCar"/>
    <w:uiPriority w:val="99"/>
    <w:semiHidden/>
    <w:unhideWhenUsed/>
    <w:rsid w:val="00A671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718C"/>
    <w:rPr>
      <w:sz w:val="20"/>
      <w:szCs w:val="20"/>
    </w:rPr>
  </w:style>
  <w:style w:type="character" w:styleId="Appelnotedebasdep">
    <w:name w:val="footnote reference"/>
    <w:basedOn w:val="Policepardfaut"/>
    <w:uiPriority w:val="99"/>
    <w:semiHidden/>
    <w:unhideWhenUsed/>
    <w:rsid w:val="00A6718C"/>
    <w:rPr>
      <w:vertAlign w:val="superscript"/>
    </w:rPr>
  </w:style>
  <w:style w:type="paragraph" w:styleId="En-tte">
    <w:name w:val="header"/>
    <w:basedOn w:val="Normal"/>
    <w:link w:val="En-tteCar"/>
    <w:uiPriority w:val="99"/>
    <w:unhideWhenUsed/>
    <w:rsid w:val="00A6718C"/>
    <w:pPr>
      <w:tabs>
        <w:tab w:val="center" w:pos="4536"/>
        <w:tab w:val="right" w:pos="9072"/>
      </w:tabs>
      <w:spacing w:after="0" w:line="240" w:lineRule="auto"/>
    </w:pPr>
  </w:style>
  <w:style w:type="character" w:customStyle="1" w:styleId="En-tteCar">
    <w:name w:val="En-tête Car"/>
    <w:basedOn w:val="Policepardfaut"/>
    <w:link w:val="En-tte"/>
    <w:uiPriority w:val="99"/>
    <w:rsid w:val="00A6718C"/>
  </w:style>
  <w:style w:type="paragraph" w:styleId="Pieddepage">
    <w:name w:val="footer"/>
    <w:basedOn w:val="Normal"/>
    <w:link w:val="PieddepageCar"/>
    <w:uiPriority w:val="99"/>
    <w:unhideWhenUsed/>
    <w:rsid w:val="00A671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1844</Words>
  <Characters>10143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Geneviève</dc:creator>
  <cp:lastModifiedBy>Geneviève</cp:lastModifiedBy>
  <cp:revision>3</cp:revision>
  <cp:lastPrinted>2021-06-09T16:02:00Z</cp:lastPrinted>
  <dcterms:created xsi:type="dcterms:W3CDTF">2021-06-09T15:09:00Z</dcterms:created>
  <dcterms:modified xsi:type="dcterms:W3CDTF">2021-06-09T16:14:00Z</dcterms:modified>
</cp:coreProperties>
</file>